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ATA/891/2023 vom 22. August 2023</w:t>
      </w:r>
    </w:p>
    <w:p>
      <w:r>
        <w:t>GE Cour de justice, 2023-08-22, FR</w:t>
      </w:r>
    </w:p>
    <w:p>
      <w:r>
        <w:rPr>
          <w:b/>
        </w:rPr>
        <w:t xml:space="preserve">Quelle: </w:t>
      </w:r>
      <w:r>
        <w:t>https://mcp.opencaselaw.ch/entscheid/ge_gerichte_ATA_891_2023</w:t>
      </w:r>
    </w:p>
    <w:p>
      <w:r>
        <w:t>FR: GE_GERICHTE ATA/891/2023 du 22 août 2023</w:t>
      </w:r>
    </w:p>
    <w:p>
      <w:r>
        <w:t>IT: GE_GERICHTE ATA/891/2023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La recourante a produit, après son acte de recours, encore deux écritures, accompagnées de pièces. Elle a pu donc compléter celui-ci et répliquer après la (brève) détermination de l’OCPM. Il est également précisé que la décision querellée n’ayant pas été déclarée exécutoire nonobstant recours, l’effet suspensif découle de la loi (art. 66 al. 1 LPA). 2. La recourante sollicite une audience de comparution personnelle des parties. 2.1 Tel qu'il est garanti par l'art. 29 al. 2 de la Constitution fédérale de la Confédération suisse du 18 avril 1999 (Cst. - RS 101), le droit d'être entendu</w:t>
      </w:r>
    </w:p>
    <w:p>
      <w:r>
        <w:t>- 6/13 - A/4015/2022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 2.2 En l’espèce, la recourante a apporté de nombreuses pièces au dossier et fourni des explications détaillées tant devant l’OCPM que devant le TAPI et la chambre de céans. Elle n’expose pas en quoi son audition permettrait d’apporter des éléments supplémentaires. L’OCPM a exprimé son point de vue au travers de sa décision et sa détermination devant le TAPI. Il s’y est expressément référé devant la chambre de céans. La question de savoir si sa décision est bien fondée fera l’objet de l’examen ci-après. Il n’y a donc pas lieu non plus de procéder à l’audition d’un représentant de l’autorité intimée, étant relevé qu’il n’est pas allégué qu’il conviendrait d’établir des faits que seule l’audition d’un ou d’une représentante de l’OCPM permettrait d’établir. Pour le surplus, le dossier est complet et permet à la chambre de céans de trancher le litige. Il ne sera donc pas procédé à d’autres actes d’instruction. 3. La recourante soutient qu’elle remplit les critères d’un cas de rigueur. 3.1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 3.2 L'art. 30 al. 1 let. b LEI permet de déroger aux conditions d'admission en Suisse, telles que prévues aux art. 18 à 29 LEI, notamment aux fins de tenir compte des cas individuels d'une extrême gravité ou d'intérêts publics majeurs. 3.3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w:t>
      </w:r>
    </w:p>
    <w:p>
      <w:r>
        <w:t>- 7/13 - A/4015/2022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3.4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3.5 Un étranger peut, exceptionnellement et à des conditions restrictives, déduire un droit à une autorisation de séjour, s'il existe un rapport de dépendance particulier entre lui et un proche parent, par exemple en raison d'une maladie ou d'un handicap, si le proche aidant ou le proche aidé est au bénéfice d'un droit de séjour en Suisse (ATF 144 II 1 consid. 6.1 ; 137 I 154 consid. 3.4.2 ; 129 II 11 consid. 2 ). 3.6 Aux termes de l'art. 96 al. 1 LEI, les autorités compétentes tiennent compte, en exerçant leur pouvoir d'appréciation, des intérêts publics, de la situation personnelle de l'étranger ainsi que de son intégration. 3.7 En l’espèce, la recourante allègue séjourner en Suisse depuis dix ans, soit depuis 2013. Comme elle le reconnaît cependant elle-même, ce séjour n’a pas été</w:t>
      </w:r>
    </w:p>
    <w:p>
      <w:r>
        <w:t>- 8/13 - A/4015/2022 discontinu puisqu’elle est retournée en Équateur en octobre 2016. Bien qu’elle n’indique pas à quelle date elle est revenue en Suisse, elle ne peut se prévaloir d’un séjour ininterrompu en Suisse depuis 2013, ayant dû la quitter en raison de la décision de renvoi. Par ailleurs, son intégration professionnelle ne saurait être qualifiée de particulièrement marquée. Son emploi dans l’économie domestique ne témoigne pas d’une ascension professionnelle extraordinaire et la recourante ne soutient pas qu’elle aurait acquis en Suisse des qualifications professionnelles si spécifiques qu’elle ne pourrait les mettre à profit dans son pays d’origine. La recourante n’a pas de poursuites, ne fait pas l’objet d’une condamnation et ne dépend pas de l’aide sociale. Elle a acquis le niveau de français A2 à l’écrit et B1 à l’oral et s’est inscrite à un cours de conversation en français allant de juin à octobre 2023. Selon une attestation de D______ de mai 2023, elle s’est engagée, en 2013, comme cuisinière bénévole pour cet organisme. La recourante a, par ailleurs, produit des lettres de soutien d’amis et de connaissance soulignant ses qualités humaines et le lien d’amitié s’étant tissé, notamment, avec M______, membre de la même Église qu’elle. L’ensemble de ces éléments plaident, certes, en faveur d’une bonne intégration sociale. Toutefois, après s’être conformée à la décision de renvoi rendue en 2016 à son encontre et avoir quitté la Suisse en octobre 2016, elle y est revenue, au mépris non seulement de la décision de renvoi, mais aussi de l’interdiction d’entrée prononcée à son encontre le 30 septembre 2016, valable jusqu’au 29 septembre 2019. Elle ne peut donc se targuer d’une intégration sociale particulièrement réussie. En outre, il n’apparaît pas que les liens amicaux tissés à Genève seraient d’une intensité telle que la recourante ne pourrait les poursuivre au travers des moyens de communication modernes une fois de retour dans son pays d’origine. Arrivée en Suisse à l'âge de 31 ans, la recourante a passé toute son enfance, son adolescence et une partie de sa vie d’adulte en Équateur. Elle en connaît donc les us et coutumes et la mentalité et en maîtrise la langue. Elle a conservé des attaches familiales importantes avec sa famille, comme en témoignent sa préoccupation pour l’état de santé de ses parents et ses virements bancaires réguliers en faveur de membres de sa famille. Elle pourra ainsi compter sur le soutien, à tout le moins social, de ses proches pour se réintégrer. Elle pourra valoriser l’expérience professionnelle acquise en Suisse ainsi que ses connaissances de la langue française, étant relevé que la recourante a indiqué avoir étudié « la technique » et obtenu un diplôme de baccalauréat en Équateur. Elle se trouvera ainsi dans la situation qui est celle de ses compatriotes restées au pays. Le fait de devoir, après plusieurs années d’absence de son pays, se réadapter ne suffit pas à retenir que sa réintégration professionnelle et sociale serait gravement compromise. La nécessité de se réadapter à son pays d’origine est inhérente à toute personne devant quitter</w:t>
      </w:r>
    </w:p>
    <w:p>
      <w:r>
        <w:t>- 9/13 - A/4015/2022 le territoire suisse du fait qu’elle n’en remplit pas les conditions de séjour. Sa situation n’est cependant pas aussi rigoureuse qu’on ne saurait exiger son retour. Le soutien financier que la recourante apporte à ses parents malades ne permet pas de justifier l’octroi d’une autorisation de séjour. En effet, la réglementation régissant le séjour d’étrangers en Suisse ne prévoit pas que l’impécuniosité de proches restés au pays, qui dépendent de l’aide financière apportée par l’intéressée travaillant en Suisse, constitue un critère d’appréciation dans l’octroi d’une autorisation de séjour. La relation de soutien à des proches, notamment par l’aide apportée dans des gestes du quotidien, ne peut entrer en ligne de compte que lorsque le proche aidé ou aidant dispose d’un titre de séjour valable en Suisse. Tel n’est pas le cas en l’espèce, ni la recourante ni ses parents ne disposant d’un titre de séjour en Suisse. Partant, au vu des éléments qui précèdent, l’OCPM n’a ni violé la loi ni abusé de son pouvoir d’appréciation en refusant de préaviser positivement auprès du SEM l’octroi d’une autorisation de séjour en faveur de la recourante. 4. Celle-ci fait encore valoir que son renvoi ne serait pas exigible, car il reviendrait à condamner ses parents, qui ne pourraient plus obtenir le financement de leurs soins nécessaires. En outre, les libertés fondamentales n’étaient pas respectées en Équateur, qui était un pays où régnait une grande violence. 4.1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4.2 En l’espèce, le retour de la recourante dans son pays d’origine la placera dans la même situation que ses compatriotes, qui doivent faire face à l’insécurité qu’elle évoque. Elle ne fait cependant valoir aucun élément rendant vraisemblable qu’à son retour en Équateur, elle serait concrètement exposée à un danger spécifique pour sa vie ou son intégrité physique ou psychique. Par ailleurs, s’il est vraisemblable que ses revenus seront moins élevés en Équateur que ceux qu’elle a réalisés en Suisse, notamment depuis juin 2022, il n’apparaît que ceux qu’elle</w:t>
      </w:r>
    </w:p>
    <w:p>
      <w:r>
        <w:t>- 10/13 - A/4015/2022 peut espérer réaliser ne lui permettront pas de subvenir à ses besoins ; elle ne le soutient d’ailleurs pas. La difficulté – qu’il n’y a pas lieu de minimiser – d’accéder à des soins médicaux de qualité, compte tenu des moyens financiers limités dont semblent disposer ses parents, n’est pas de nature à rendre inexigible son renvoi. Cette difficulté, bien qu’elle puisse préoccuper la recourante, ne la concerne pas au premier chef, de sorte qu’elle ne constitue pas un motif s’opposant à son renvoi. Dans ces circonstances, l’OCPM n’a pas violé la loi ni abusé de son pouvoir d’appréciation en retenant que le renvoi de la recourante était possible, licite et raisonnablement exigible. Mal fondé, le recours sera donc rejeté.</w:t>
      </w:r>
    </w:p>
    <w:p>
      <w:r>
        <w:rPr>
          <w:b/>
        </w:rPr>
        <w:t>E. 5</w:t>
      </w:r>
    </w:p>
    <w:p>
      <w:r>
        <w:t>Vu l’issue du litige, un émolument de CHF 550.- sera mis à la charge de la recourante, qui ne peut se voir allouer d’indemnité de procédure (art. 87 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