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ATA/88/2017 vom 3. Februar 2017</w:t>
      </w:r>
    </w:p>
    <w:p>
      <w:r>
        <w:t>GE Cour de justice, 2017-02-03, FR</w:t>
      </w:r>
    </w:p>
    <w:p>
      <w:r>
        <w:rPr>
          <w:b/>
        </w:rPr>
        <w:t xml:space="preserve">Quelle: </w:t>
      </w:r>
      <w:r>
        <w:t>https://mcp.opencaselaw.ch/entscheid/ge_gerichte_ATA_88_2017</w:t>
      </w:r>
    </w:p>
    <w:p>
      <w:r>
        <w:t>FR: GE_GERICHTE ATA/88/2017 du 3 février 2017</w:t>
      </w:r>
    </w:p>
    <w:p>
      <w:r>
        <w:t>IT: GE_GERICHTE ATA/88/2017 del 3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de la loi sur l’université du 13 juin 2008 - LU - C 1 30 ; art. 36 al. 1 et 37 du règlement relatif à la procédure d'opposition au sein de l'université du 16 mars 2009 - RIO-UNIGE ; art. 62 al. 1 let. a et 63 al. 1 let. a de la loi sur la procédure administrative du 12 septembre 1985 - LPA - E 5 10).</w:t>
      </w:r>
    </w:p>
    <w:p>
      <w:r>
        <w:rPr>
          <w:b/>
        </w:rPr>
        <w:t>E. 2</w:t>
      </w:r>
    </w:p>
    <w:p>
      <w:r>
        <w:t>Le présent litige porte sur le résultat obtenu par la recourante à l’examen de biologie du développement I le 2 juin 2015, son échec ayant entraîné son élimination définitive de la faculté.</w:t>
      </w:r>
    </w:p>
    <w:p>
      <w:r>
        <w:rPr>
          <w:b/>
        </w:rPr>
        <w:t>E. 3</w:t>
      </w:r>
    </w:p>
    <w:p>
      <w:r>
        <w:t>a. Selon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(ATA/915/2015 du 8 septembre 2015 consid. 7d ; ATA/592/2015 du 9 juin 2015 consid. 4b ; ATA/861/2014 du 4 novembre 2014 consid. 8 ; ATA 669/2014 du 26 août 2014 consid. 3 ; ATA/131/2013 du 5 mars 2013 consid. 5).</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w:t>
      </w:r>
    </w:p>
    <w:p>
      <w:r>
        <w:t>- 8/15 - A/1176/2016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Cependant, faire preuve de retenue ne signifie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rPr>
          <w:b/>
        </w:rPr>
        <w:t>E. 4</w:t>
      </w:r>
    </w:p>
    <w:p>
      <w:r>
        <w:t>a. Selon la jurisprudence, se rapportent à des questions de procédure tous les griefs qui concernent la façon dont l’examen ou son évaluation s’est déroulée (ATF 106 Ia 1 = JT 982 1 227). Un vice de procédure ne justifie cependant l’admission d’un recours et l’annulation ou la réforme de la décision attaquée que s’il existe des indices que ce vice ait pu exercer une influence défavorable sur le résultat de l’examen. Un vice purement objectif ne saurait, faute d’intérêt digne de protection de celui qui s’en prévaut, constituer un motif de recours (ATAF A-2496/2009 du 11 janvier 2010 ; ATA/592/2015 précité consid. 4b ; ATA/31/2008 du 22 janvier 2008 et les références citées ; ATA/366/2007 du 31 juillet 2007).</w:t>
      </w:r>
    </w:p>
    <w:p>
      <w:r>
        <w:t>b.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- 9/15 - A/1176/2016</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w:t>
      </w:r>
    </w:p>
    <w:p>
      <w:r>
        <w:t>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 du Tribunal fédéral 2D_54/2014 du 23 janvier 2015 consid. 5.3 et les arrêts cités ; ATA/915/2015 du 8 septembre 2015 consid. 5a ; ATA/89/2015 du 20 janvier 2015 consid. 4 ; ATA/460/2012 du 30 juillet 2012 consid. 7a ; ATA/186/2012 du 3 avril 2012).</w:t>
      </w:r>
    </w:p>
    <w:p>
      <w:r>
        <w:t>c Dans le cadre d’une procédure judiciaire,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ATA/876/2016 du 18 octobre 2016 consid. 3b).</w:t>
      </w:r>
    </w:p>
    <w:p>
      <w:r>
        <w:rPr>
          <w:b/>
        </w:rPr>
        <w:t>E. 5</w:t>
      </w:r>
    </w:p>
    <w:p>
      <w:r>
        <w:t>En l’espèce, dans son recours, la recourante n’a pas exposé sur quels points elle sollicitait d’être auditionnée par le juge délégué et, à la suite de la lettre de celui-ci l’informant de ce qu’il ne serait pas procédé à d’autres mesures d’instruction, elle n’a pas indiqué maintenir sa demande de comparution personnelle. Au surplus, ses griefs sont pour l’essentiel d’ordre formel et/ou technique, et on ne voit pas quels éléments une audition aurait pu apporter à l’établissement des faits, le dossier étant complet.</w:t>
      </w:r>
    </w:p>
    <w:p>
      <w:r>
        <w:t>Il n’est donc pas procédé à une audience de comparution personnelle.</w:t>
      </w:r>
    </w:p>
    <w:p>
      <w:r>
        <w:t>- 10/15 - A/1176/2016</w:t>
      </w:r>
    </w:p>
    <w:p>
      <w:r>
        <w:rPr>
          <w:b/>
        </w:rPr>
        <w:t>E. 6</w:t>
      </w:r>
    </w:p>
    <w:p>
      <w:r>
        <w:t>a. Sous l’angle du droit d’être entendu de la recourante par l’intimée, on ne voit pas en quoi la faculté aurait refusé d’indiquer à celle-ci le champ exact de l’examen, ni en quoi il lui appartenait de préciser encore plus ce champ.</w:t>
      </w:r>
    </w:p>
    <w:p>
      <w:r>
        <w:t>En effet, d’une part, à la question de l’intéressée du 13 mai 2015 portant sur le champ de l’examen, le doyen a répondu le 19 mai 2015 qu’il s’agissait des cinq enseignements qu’elle avait suivis, soit ceux des professeurs B______, C______, D______, E______ et F______. Or il n’est pas contesté que ces cinq professeurs sont ceux dont elle avait suivi les cours – ou le cours en commun selon l’université – durant l’année universitaire 2011-2012 – plus précisément le semestre de printemps 2012 –, comme elle l’a du reste allégué dans la précédente procédure devant la chambre de céans (ATA/839/2014 précité consid. 10). D’autre part, l’étudiante n’a pas sollicité de précisions concernant le champ de l’examen à réception de la lettre du 19 mai 2015.</w:t>
      </w:r>
    </w:p>
    <w:p>
      <w:r>
        <w:t>Il n’est à juste titre pas contesté par la recourante que le règlement d’études général de la faculté 2011-2012 (ci-après : REG) lui était applicable, également pour l’examen passé le 2 juin 2015 qui portait sur cette période, ainsi que pour ses suites.</w:t>
      </w:r>
    </w:p>
    <w:p>
      <w:r>
        <w:t>Au surplus, vu ce qui précède, on ne saurait retenir une violation de l’art. 8 al. 5 REG, à teneur duquel le champ de l’examen correspond à la matière enseignée jusqu’à la date de l’épreuve.</w:t>
      </w:r>
    </w:p>
    <w:p>
      <w:r>
        <w:t>Ce grief est donc écarté.</w:t>
      </w:r>
    </w:p>
    <w:p>
      <w:r>
        <w:t>b. Le grief de la recourante selon lequel l’examen écrit litigieux ne précisait pas le nombre de points attribués à chacune des questions est contredit par l’énoncé en début d’examen, à teneur duquel, « pour le calcul de la note finale, chaque question a un poids (un nombre de points) identique ».</w:t>
      </w:r>
    </w:p>
    <w:p>
      <w:r>
        <w:t>c. Les autres griefs de l’étudiante sont infondés.</w:t>
      </w:r>
    </w:p>
    <w:p>
      <w:r>
        <w:t>En effet, comme elle l’a mentionné dans ses observations du 22 octobre 2015, elle a « pu prendre connaissance de sa copie d’examen, des corrections et du barème » dans le cadre de la procédure d’opposition, et, ni dans cette écriture ni dans celle du 15 janvier 2016, ne s’est plainte de ne pas avoir pu se déterminer sur ces documents et renseignements. Dans son recours, elle n’a pas allégué ne pas avoir eu accès aux originaux de son examen auprès des cinq professeurs concernés comme elle l’avait demandé. Enfin, l’intimée a pris en compte l’entier des déterminations de la recourante.</w:t>
      </w:r>
    </w:p>
    <w:p>
      <w:r>
        <w:rPr>
          <w:b/>
        </w:rPr>
        <w:t>E. 7</w:t>
      </w:r>
    </w:p>
    <w:p>
      <w:r>
        <w:t>a. Pour ce qui est des griefs au fond de la recourante, l’art. 8 al. 3 REG prescrit que les connaissances des étudiants sont évaluées par des notes allant de 0 à 6, la note suffisante étant 4, et que ces notes ne sont jamais fractionnées au-delà du demi-point.</w:t>
      </w:r>
    </w:p>
    <w:p>
      <w:r>
        <w:t>- 11/15 - A/1176/2016</w:t>
      </w:r>
    </w:p>
    <w:p>
      <w:r>
        <w:t>Tout d’abord, c’est sur la base d’aucun fondement ni quelconque indice que l’intéressée insinue que, vu la procédure qui lui avait permis de passer l’examen le 2 juin 2015, elle « ne pouvait […] pas être ‘jugée’ ou ‘examinée’ de manière tout à fait neutre, comme n’importe quel étudiant ».</w:t>
      </w:r>
    </w:p>
    <w:p>
      <w:r>
        <w:t>b. S’agissant du contenu de l’examen litigieux, l’étudiante ne conteste pas les 5,5 points sur 6 qui lui ont été attribués par le professeur E______ pour la question 1.</w:t>
      </w:r>
    </w:p>
    <w:p>
      <w:r>
        <w:t>La recourante a reçu 0 point à la question 2 du professeur E______, laquelle requérait des explications sur un processus biologique. Celui-ci a en particulier considéré comme « hors propos » la réponse de l’étudiante « la finalité de cette cascade est que dorsal (sic) puisse aller dans le noyau ».</w:t>
      </w:r>
    </w:p>
    <w:p>
      <w:r>
        <w:t>Cette question 2 se référait à une diapositive ou figure qui était incluse dans son intitulé et qui faisait partie des diapositives et figures qui constituaient le seul support matériel du cours du professeur E______. C’est en vain que l’intéressée fait valoir que la diapositive de la question 2 n’était accompagnée sur le support de cours d’aucun commentaire mais seulement d’une référence à un livre dont elle était issue comme indiqué par le professeur E______ dans son rapport établi le 24 novembre 2015, et qu’elle avait simplement été commentée en cours au printemps 2012. En effet, on ne voit pas en quoi il serait problématique que des réponses à un examen soient attendues sur la base d’explications données seulement par oral par le professeur à son cours – que les étudiants sont censés suivre – et que, pour préparer l’examen, les étudiants puissent lire des passages topiques d’un ouvrage auquel les diapositives et figures du support se réfèrent.</w:t>
      </w:r>
    </w:p>
    <w:p>
      <w:r>
        <w:t>Est également en tout état de cause infondé le grief de l’intéressée selon lequel le professeur E______ ne lui aurait jamais transmis le corrigé de son examen, en particulier les réponses attendues, étant donné, d’une part, qu’elle ne conteste pas l’allégation de l’université à teneur de laquelle elle n’a pas pris contact avec ce professeur, d’autre part, qu’elle ne prétend pas que sa brève réponse aurait été exacte.</w:t>
      </w:r>
    </w:p>
    <w:p>
      <w:r>
        <w:t>c. Le grief de la recourante ressortant notamment de ses observations émises dans le cadre de la procédure d’opposition et afférent aux questions 3 et 4 de l’examen litigieux, posées par la professeure C______, selon lequel elle aurait dû être interrogée sur le cours qu’elle avait suivi en mai-juin 2011 et non sur celui – éventuellement différent – d’un autre semestre qui a fait l’objet desdites questions 3 et 4, est infondé. En effet, d’une part, l’examen litigieux du 2 juin 2015 faisait suite à celui passé en seconde tentative à la session de mai-juin 2012 et évaluait, partant, les connaissances de l’intéressées acquises en suivant le cours du printemps 2012, c’est-à-dire de l’année académique 2011-2012 dont cet examen- ci constituait l’achèvement, comme cela ressort du reste de l’ATA/839/2014 précité qui se réfère à l’année académique 2011-2012. D’autre part, la professeure</w:t>
      </w:r>
    </w:p>
    <w:p>
      <w:r>
        <w:t>- 12/15 - A/1176/2016 C______ a, dans son rapport du 21 novembre 2015, indiqué que ses questions 3 et 4 se référaient à son cours du mois de mai 2012.</w:t>
      </w:r>
    </w:p>
    <w:p>
      <w:r>
        <w:t>d. Le grief de la recourante relatif au fait que les questions 5 et 6 du professeur D______ étaient chacune notées sur 5 points au lieu de 6 comme chez les autres professeurs a perdu toute substance à la suite des explications formulées par ce professeur dans son rapport du 27 novembre 2015, dans lequel il expose avoir en réalité ajouté 1 point à l’étudiante pour chacune de ses deux questions, ce qui était en sa faveur et a fait passer ses points de 2 à 3 sur 6 pour la question 5 et de 3,25 à 4,25 pour la question 6, quand bien même cela ne figurerait pas dans le corrigé fait sur les feuilles d’examen.</w:t>
      </w:r>
    </w:p>
    <w:p>
      <w:r>
        <w:t>Pour le reste, l’intéressée n’a, à la suite des explications de l’intimée, pas persisté dans sa réplique dans ses autres griefs, portant sur les appréciations de ses réponses, à l’encontre des corrections du professeur D______. En tout état de cause, rien ne permet de supposer que ces appréciations, dûment motivées par ce professeur dans son rapport du 27 novembre 2015, pourraient être grossièrement erronées. La recourante ne le prétend du reste pas. Concernant la question 5a en particulier, le professeur a indiqué que la réponse invoquée par l’étudiante ne correspondait pas à ce qui était attendu d’elle, étant relevé que « l’angle d’or de 137,5° » ne figurait pas seulement dans la réponse de l’intéressée mais aussi dans l’énoncé.</w:t>
      </w:r>
    </w:p>
    <w:p>
      <w:r>
        <w:t>e. Pour ce qui est des questions 7 et 8 du professeur B______, la recourante n’a nullement démontré son allégation selon laquelle plusieurs des sous-questions posées n’auraient jamais été abordées dans le cours de celui-ci. Rien ne permet de mettre en doute les explications du professeur B______ à teneur desquelles les notes et illustrations figurant dans le support distribué au début du cours ne couvraient pas toute la matière enseignée, étant rappelé qu’un examen peut porter sur des éléments exposés oralement au cours mais non contenus dans l’éventuel support. S’agissant de la question 8a, on ne voit aucune contradiction entre le fait que 0,5 point sur 1,5 lui a été enlevé et l’explication fournie par le professeur B______ dans son rapport du 27 novembre 2015 d’après laquelle elle avait répondu en partie correctement à cette sous-question, avec mention d’une erreur commise.</w:t>
      </w:r>
    </w:p>
    <w:p>
      <w:r>
        <w:t>f. Concernant la question 9, pour laquelle l’étudiante a obtenu 4,5 sur 6, le professeur F______ a, dans son rapport, du 24 novembre 2015, notamment indiqué que les notions manquant à l’un des points à traiter par l’intéressée « [avaient] été définies comme particulièrement importantes au cours de [ses] enseignements et [avaient] été largement discutées à l’aide de la littérature adéquate ». Or, même si l’allégation de la recourante selon laquelle ce professeur n’aurait jamais communiqué de noms d’ouvrages ou d’auteurs aux étudiants était établie – ce qui peut demeurer indécis –, cela ne signifierait pas en tant que tel que les notions manquantes dans les réponses de l’étudiante n’auraient pas fait l’objet</w:t>
      </w:r>
    </w:p>
    <w:p>
      <w:r>
        <w:t>- 13/15 - A/1176/2016 de l’enseignement du professeur F______ transmis par oral au cours, qu’il figure ou non aussi dans un support écrit.</w:t>
      </w:r>
    </w:p>
    <w:p>
      <w:r>
        <w:t>g. En définitive, tous les griefs de la recourante formulés à l’encontre des corrections et de la notation de son examen étant écartés, et compte tenu du pouvoir d’examen de la chambre de céans, la note 3,25 attribuée à l’examen litigieux ne saurait être remise en cause.</w:t>
      </w:r>
    </w:p>
    <w:p>
      <w:r>
        <w:rPr>
          <w:b/>
        </w:rPr>
        <w:t>E. 8</w:t>
      </w:r>
    </w:p>
    <w:p>
      <w:r>
        <w:t>Conformément aux art. 8 al. 3 et 9 al. 2 REG – auxquels renvoie l’art. B 15 septies al. 1 du règlement de la maîtrise universitaire (master) bi-disciplinaire de 2008 (ci-après : REMABI) – ainsi qu’à l’art. 14 al. 1 let. a REG appliqué à fortiori, cette note 3,25 était insuffisante et l’examen ne pouvait pas être considéré comme réussi.</w:t>
      </w:r>
    </w:p>
    <w:p>
      <w:r>
        <w:t>En application notamment des art. B 15 septies al. 3, B 15 octies al. 1 REMABI ainsi que des art. 13 al. 2, 14 et 19 al. 1 let. b REG, la décision d’élimination du 14 juillet 2015 et la décision sur opposition du 29 février 2016 la confirmant sont conformes au droit.</w:t>
      </w:r>
    </w:p>
    <w:p>
      <w:r>
        <w:rPr>
          <w:b/>
        </w:rPr>
        <w:t>E. 9</w:t>
      </w:r>
    </w:p>
    <w:p>
      <w:r>
        <w:t>Le recours, infondé, sera rejeté.</w:t>
      </w:r>
    </w:p>
    <w:p>
      <w:r>
        <w:t>La recourante, au bénéfice de l’assistance juridique, ne se verra pas condamnée au versement d’un émolument (art. 13 al. 1 du règlement sur les frais, émoluments et indemnités en procédure administrative du 30 juillet 1986 - RFPA - E 5 10.03), et,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