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ATA/88/2012 vom 15. Februar 2012</w:t>
      </w:r>
    </w:p>
    <w:p>
      <w:r>
        <w:t>GE Cour de justice, 2012-02-15, FR</w:t>
      </w:r>
    </w:p>
    <w:p>
      <w:r>
        <w:rPr>
          <w:b/>
        </w:rPr>
        <w:t xml:space="preserve">Quelle: </w:t>
      </w:r>
      <w:r>
        <w:t>https://mcp.opencaselaw.ch/entscheid/ge_gerichte_ATA_88_2012</w:t>
      </w:r>
    </w:p>
    <w:p>
      <w:r>
        <w:t>FR: GE_GERICHTE ATA/88/2012 du 15 février 2012</w:t>
      </w:r>
    </w:p>
    <w:p>
      <w:r>
        <w:t>IT: GE_GERICHTE ATA/88/2012 del 15 febbraio 2012</w:t>
      </w:r>
    </w:p>
    <w:p>
      <w:pPr>
        <w:pStyle w:val="Heading2"/>
      </w:pPr>
      <w:r>
        <w:t>Erwägungen</w:t>
      </w:r>
    </w:p>
    <w:p>
      <w:r>
        <w:rPr>
          <w:b/>
        </w:rPr>
        <w:t>E. 1</w:t>
      </w:r>
    </w:p>
    <w:p>
      <w:r>
        <w:t>let. b de la loi sur la procédure administrative du 12 septembre 1985 - LPA - E 5 10).</w:t>
      </w:r>
    </w:p>
    <w:p>
      <w:r>
        <w:rPr>
          <w:b/>
        </w:rPr>
        <w:t>E. 2</w:t>
      </w:r>
    </w:p>
    <w:p>
      <w:r>
        <w:t>Selon l’art. 10 al. 2 LaLEtr, la chambre administrative doit statuer dans les dix jours qui suivent sa saisine. En statuant ce jour, elle respecte ce délai.</w:t>
      </w:r>
    </w:p>
    <w:p>
      <w:r>
        <w:t>Elle est compétente pour apprécier l’opportunité des décisions portées devant elle (art. 10 al. 2 LaLEtr). Elle peut confirmer, réformer ou annuler la décision attaquée ; cas échéant, elle ordonne la mise en liberté de l’étranger (art. 10 al. 3 LaLEtr).</w:t>
      </w:r>
    </w:p>
    <w:p>
      <w:r>
        <w:rPr>
          <w:b/>
        </w:rPr>
        <w:t>E. 3</w:t>
      </w:r>
    </w:p>
    <w:p>
      <w:r>
        <w:t>a. L’étranger qui a fait l’objet d’une décision de renvoi exécutoire peut être mis en détention administrative s’il a fait l’objet de la part de l’ODM d’une décision de non-entrée en matière au sens de l’art. 32 al. 2 let. a à c de la loi sur l’asile du 26 juin 1998 (LAsi - RS 142.31 ; art. 76 al. 1 let. b ch. 2 LEtr) ou si des éléments concrets font craindre qu’il entend se soustraire à son expulsion, en particulier parce qu’il ne se soumet pas à son obligation de collaborer au sens de l’art. 90 LEtr ou de l’art. 8 al. 1 let. a ou al. 4 LAsi ;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2C_128/2009 du 30 mars 2009, consid. 3.1).</w:t>
      </w:r>
    </w:p>
    <w:p>
      <w:r>
        <w:t>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se soumettre au renvoi (ATF 130 II 56 consid. 3.1, et la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2C_400/2009 du 16 juillet 2009, consid. 3.1).</w:t>
      </w:r>
    </w:p>
    <w:p>
      <w:r>
        <w:t>- 5/7 - A/243/2012</w:t>
      </w:r>
    </w:p>
    <w:p>
      <w:r>
        <w:t>b. Il en va de même si cette personne a été poursuivie ou condamnée pour une infraction par laquelle elle a menacé sérieusement la vie ou l’intégrité corporelle d’autres personnes (art. 76 al. 1 let. b ch. 1 LEtr, renvoyant à l’art. 75 al. 1 let. g LEtr ; ATA/647/2011 du 12 octobre 2011).</w:t>
      </w:r>
    </w:p>
    <w:p>
      <w:r>
        <w:rPr>
          <w:b/>
        </w:rPr>
        <w:t>E. 4</w:t>
      </w:r>
    </w:p>
    <w:p>
      <w:r>
        <w:t>En l’espèce, le recourant n’a pas de papiers d’identité et il est sans domicile fixe. Il a déposé trois demandes d’asile qui ont toutes été rejetées. Refoulé à deux reprises vers l’Italie, il est revenu en Suisse quelques semaines plus tard.</w:t>
      </w:r>
    </w:p>
    <w:p>
      <w:r>
        <w:t>Le recourant fait l’objet, outre d’une décision de non-entrée en matière, d’une décision de renvoi exécutoire du 6 octobre 2011.</w:t>
      </w:r>
    </w:p>
    <w:p>
      <w:r>
        <w:t>Dans ces circonstances, les conditions d’application de l’art. 76 al. 1 let. b ch. 3 et 4 LEtr sont réalisées, sans qu’il ne soit nécessaire de déterminer si la quantité de stupéfiants pour laquelle il a été condamné est suffisante pour menacer sérieusement la vie et l’intégrité d’autres personnes.</w:t>
      </w:r>
    </w:p>
    <w:p>
      <w:r>
        <w:rPr>
          <w:b/>
        </w:rPr>
        <w:t>E. 5</w:t>
      </w:r>
    </w:p>
    <w:p>
      <w:r>
        <w:t>Les autorités ont fait preuve de toute la diligence requise pour renvoyer le recourant. Toute autre mesure moins incisive, telle qu’une assignation à résidence ou une assignation territoriale, alors que l’intéressé n’a pas de domicile fixe, ne permettrait pas d’assurer sa présence le jour du vol, de sorte que la détention administrative est la seule nécessaire et adéquate pour permettre d’atteindre ce but.</w:t>
      </w:r>
    </w:p>
    <w:p>
      <w:r>
        <w:t>En confirmant pour un mois la durée de la détention administrative du recourant, le TAPI a pris une mesure conforme au principe de la proportionnalité.</w:t>
      </w:r>
    </w:p>
    <w:p>
      <w:r>
        <w:rPr>
          <w:b/>
        </w:rPr>
        <w:t>E. 6</w:t>
      </w:r>
    </w:p>
    <w:p>
      <w:r>
        <w:t>a.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b. Selon la jurisprudence, cette disposition vise aussi les personnes pour lesquelles un retour reviendrait à les mettre concrètement en danger, notamment parce qu’elles ne pourraient plus recevoir les soins dont elles ont besoin (ATA/334/2009 du 2 juillet 2009; JAAC 67 [2003] n° 63). L’exigibilité du renvoi peut, à titre exceptionnel, être niée en raison de l’état physique ou psychique du recourant (Ph. GRANT, Les mesures de contrainte en droit des étrangers, mise à jour et rapport complémentaire de l’organisation suisse d’aide aux réfugiés, Berne, 7 septembre 2001, p. 23). La doctrine se réfère à cet égard à un arrêt de la Cour Européenne des droits de l’homme dans lequel cette dernière a rappelé que les Etats contractants, lorsqu’ils exercent leur droit à expulser des étrangers,</w:t>
      </w:r>
    </w:p>
    <w:p>
      <w:r>
        <w:t>- 6/7 - A/243/2012 doivent tenir compte de l’art. 3 CEDH qui consacre l’une des valeurs fondamentales d’une société démocratique (ACEDH D. c. Grande-Bretagne du 2 mai 1997, no 30240/96, publié au recueil 1997-III). S’appuyant sur cette décision, le Tribunal fédéral a jugé qu’un mauvais état de santé pouvait, dans des cas extraordinaires, conduire à renoncer à l’exécution du renvoi (Arrêt du Tribunal fédéral 2A.313/1997 du 29 août 1997 ; ATA/14/2006 du 12 janvier 2006).</w:t>
      </w:r>
    </w:p>
    <w:p>
      <w:r>
        <w:t>c. En matière d'asile, l’exécution du renvoi des personnes en traitement médical en Suisse ne devient inexigible qu’à partir du moment où, en raison de l’absence de possibilités de traitement médical dans leur pays d’origine ou de destination, leur état de santé se dégraderait très rapidement au point de conduire, d’une manière certaine, à la mise en danger concrète de leur vie ou à une atteinte sérieuse, durable et notablement plus grave de leur intégrité physique (G. ZÜRCHER, Wegweisung und Fremdenpolizeirecht : die verfahrensmässige Behandlung von medizinischen Härtefällen, in : Schweizerisches Institut für Verwaltungskurse, Ausgewählte Fragen des Asylrechts, Lucerne 1992 ; ATAF D-5039/2006 du 1er juin 2007). En revanche, une décision d’exécution du renvoi ne devient pas inexigible au simple motif que l’infrastructure hospitalière et le savoir-faire médical prévalant en Suisse correspondent à un standard élevé non accessible dans le pays d’origine ou le pays tiers de résidence de la personne concernée (JICRA 1993 n° 38 p. 274 ss ; ATAF E-6427/2006 du 3 avril 2008). Enfin, l’examen de l’exigibilité de l’exécution du renvoi dépend avant tout de la situation concrète de la personne concernée dans le pays de destination, et en particulier, des possibilités d’accès aux soins médicaux (JAAC 68 [2004] n° 116, décision de la commission suisse de recours en matière d’asile du 13 janvier 2004; JAAC 68 [2004] n° 115, décision de la commission suisse de recours en matière d’asile du 24 octobre 2003 ; ATA/694/2009 du 22 décembre 2009).</w:t>
      </w:r>
    </w:p>
    <w:p>
      <w:r>
        <w:t>En l’espèce, le recourant a fait état de problèmes de santé à la hanche et au poignet, sans plus de précision. Il a, en cours de procédure, renoncé à invoquer ces éléments et indiqué vouloir être renvoyé le plus rapidement possible en Italie.</w:t>
      </w:r>
    </w:p>
    <w:p>
      <w:r>
        <w:t>Dans ces circonstances, l'impossibilité du renvoi n'est pas patente et ne peut être prise en compte par la chambre administrative, en sa qualité de juge de la détention.</w:t>
      </w:r>
    </w:p>
    <w:p>
      <w:r>
        <w:rPr>
          <w:b/>
        </w:rPr>
        <w:t>E. 7</w:t>
      </w:r>
    </w:p>
    <w:p>
      <w:r>
        <w:t>Au vu de ce qui précède, le recours sera rejeté. Aucun émolument ne sera perçu, la procédure étant gratuite (art. 12 du règlement sur les frais, émoluments et indemnités en procédure administrative du 30 juillet 1986 - RFPA - E 5 10.03).</w:t>
      </w:r>
    </w:p>
    <w:p>
      <w:r>
        <w:t>* * * * *</w:t>
      </w:r>
    </w:p>
    <w:p>
      <w:r>
        <w:t>- 7/7 - A/243/2012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