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ATA/888/2019 vom 14. Mai 2019</w:t>
      </w:r>
    </w:p>
    <w:p>
      <w:r>
        <w:t>GE Cour de justice, 2019-05-14, FR</w:t>
      </w:r>
    </w:p>
    <w:p>
      <w:r>
        <w:rPr>
          <w:b/>
        </w:rPr>
        <w:t xml:space="preserve">Quelle: </w:t>
      </w:r>
      <w:r>
        <w:t>https://mcp.opencaselaw.ch/entscheid/ge_gerichte_ATA_888_2019</w:t>
      </w:r>
    </w:p>
    <w:p>
      <w:r>
        <w:t>FR: GE_GERICHTE ATA/888/2019 du 14 mai 2019</w:t>
      </w:r>
    </w:p>
    <w:p>
      <w:r>
        <w:t>IT: GE_GERICHTE ATA/888/2019 del 14 maggio 2019</w:t>
      </w:r>
    </w:p>
    <w:p>
      <w:pPr>
        <w:pStyle w:val="Heading2"/>
      </w:pPr>
      <w:r>
        <w:t>Erwägungen</w:t>
      </w:r>
    </w:p>
    <w:p>
      <w:r>
        <w:rPr>
          <w:b/>
        </w:rPr>
        <w:t>E.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w:t>
      </w:r>
    </w:p>
    <w:p>
      <w:r>
        <w:t>La recevabilité d'un recours contre une décision de mesures superprovisonnelles souffrira de rester indécise compte tenu de ce qui suit.</w:t>
      </w:r>
    </w:p>
    <w:p>
      <w:r>
        <w:rPr>
          <w:b/>
        </w:rPr>
        <w:t>E.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w:t>
      </w:r>
    </w:p>
    <w:p>
      <w:r>
        <w:rPr>
          <w:b/>
        </w:rPr>
        <w:t>E. 3</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w:t>
      </w:r>
    </w:p>
    <w:p>
      <w:r>
        <w:t>- 6/9 - A/1586/2019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4</w:t>
      </w:r>
    </w:p>
    <w:p>
      <w:r>
        <w:t>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(ATA/1205/2018 précité consid. 7b).</w:t>
      </w:r>
    </w:p>
    <w:p>
      <w:r>
        <w:rPr>
          <w:b/>
        </w:rPr>
        <w:t>E. 5</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du 18 février 2013 et les références citées). Elles ne sauraient, en principe tout au moins, anticiper le jugement définitif ni équivaloir à une condamnation provisoire sur le fond, pas plus qu’aboutir abusivement à rendre d’emblée illusoire la portée du procès au fond (arrêts précités). Ainsi, dans la</w:t>
      </w:r>
    </w:p>
    <w:p>
      <w:r>
        <w:t>- 7/9 - A/1586/2019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Par ailleurs, l'octroi de mesures provisionnelles présuppose l'urgence, à savoir que le refus de les ordonner crée pour l'intéressé la menace d'un dommage difficile à réparer (ATF 130 II 149 consid. 2.2 ; 127 II 132 consid. 3 = RDAF 2002 I 405).</w:t>
      </w:r>
    </w:p>
    <w:p>
      <w:r>
        <w:rPr>
          <w:b/>
        </w:rPr>
        <w:t>E. 6</w:t>
      </w:r>
    </w:p>
    <w:p>
      <w:r>
        <w:t>a. En l'espèce, la décision du 14 novembre 2017 limitait l'autorisation permettant à la recourante d'utiliser le domaine public concerné au 31 décembre 2018. Cette décision est définitive et exécutoire.</w:t>
      </w:r>
    </w:p>
    <w:p>
      <w:r>
        <w:t>Le fond du présent litige porte sur le bien-fondé du refus du département d'entrer en matière sur la demande de reconsidération de ladite décision. Si la recourante devait obtenir gain de cause dans la présente procédure, le dossier serait renvoyé au département pour qu'il entre en matière sur la demande de reconsidération. Une décision sur reconsidération n'impliquerait pas que l'intéressée obtiendrait ses conclusions.</w:t>
      </w:r>
    </w:p>
    <w:p>
      <w:r>
        <w:t>En application de l'art. 48 al. 2 LPA, la demande en reconsidération n'entraîne pas effet suspensif. De surcroît, la décision de refus d'entrer en matière est négative. Seule peut se poser la question de mesures provisionnelles.</w:t>
      </w:r>
    </w:p>
    <w:p>
      <w:r>
        <w:t>b. La recourante a pris trois conclusions sur mesures superprovisionnelles : qu'il soit sursis à son évacuation du CNGP, qu'elle soit autorisée à utiliser le domaine public concerné et qu'elle puisse y exercer ses activités jusqu'à droit jugé au fond.</w:t>
      </w:r>
    </w:p>
    <w:p>
      <w:r>
        <w:t>En sollicitant, par le biais de mesures superprovisionnelles, la possibilité de continuer à utiliser le domaine public et à exercer ses activités jusqu'à l'issue de la procédure, elle revendique des droits dont elle ne bénéficie plus depuis quatre mois. Or, elle ne peut se voir accorder par le biais de mesures provisionnelles un régime juridique dont elle ne bénéficie plus depuis plusieurs mois, le maintien d'une situation antérieure illégale n'apparaissant pas comme un intérêt digne d'être protégé et donc prépondérant (ATA/418/2018 du 3 mai 2018 consid. 9 ; ATA/1313/2017 du 21 septembre 2017 ; ATA/967/2014 du 5 décembre 2014).</w:t>
      </w:r>
    </w:p>
    <w:p>
      <w:r>
        <w:t>Ses arguments relatifs aux conséquences de la cessation d'activité, notamment sur le plan financier ou relatif à l'annulation de stages et de compétitions ne sont dès lors pas pertinents dans le cadre du présent litige.</w:t>
      </w:r>
    </w:p>
    <w:p>
      <w:r>
        <w:t>c. La recourante conclut à ce qu'il soit sursis à son évacuation jusqu'à l'issue de la présente procédure, invoquant que son intérêt privé doit primer. Elle allègue des</w:t>
      </w:r>
    </w:p>
    <w:p>
      <w:r>
        <w:t>- 8/9 - A/1586/2019 difficultés d'entreposage du matériel et la destruction d'une partie de celui-ci en cas de démontage notamment. Cet intérêt est important quand bien même il n'est pour partie qu'allégué.</w:t>
      </w:r>
    </w:p>
    <w:p>
      <w:r>
        <w:t>L'intérêt public consiste dans la sécurité du droit, soit notamment dans l'exécution de la décision, définitive et exécutoire, du 14 novembre 2017. Intervient aussi l'intérêt public à pouvoir mettre au concours, conformément à une décision de justice, l'entier du CNGP, l'autorité intimée indiquant que tel n'est pas le cas actuellement au vu de l'occupation illicite du domaine public par la recourante.</w:t>
      </w:r>
    </w:p>
    <w:p>
      <w:r>
        <w:t>L'intérêt public à la sécurité du droit prime, à première vue et dans le cadre d'une analyse sur mesures superprovisionnelles, l'intérêt privé de la recourante.</w:t>
      </w:r>
    </w:p>
    <w:p>
      <w:r>
        <w:t>c. Par ailleurs les chances de succès du recours n'apparaissent pas, prima facie, justifier d'octroyer les mesures sollicitées ne s'agissant que d'une procédure en reconsidération.</w:t>
      </w:r>
    </w:p>
    <w:p>
      <w:r>
        <w:t>Le recours sera en conséquence rejeté en tant qu'il est recevable.</w:t>
      </w:r>
    </w:p>
    <w:p>
      <w:r>
        <w:rPr>
          <w:b/>
        </w:rPr>
        <w:t>E. 7</w:t>
      </w:r>
    </w:p>
    <w:p>
      <w:r>
        <w:t>Vu l'issue du recours,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