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ATA/887/2023 vom 22. August 2023</w:t>
      </w:r>
    </w:p>
    <w:p>
      <w:r>
        <w:t>GE Cour de justice, 2023-08-22, FR</w:t>
      </w:r>
    </w:p>
    <w:p>
      <w:r>
        <w:rPr>
          <w:b/>
        </w:rPr>
        <w:t xml:space="preserve">Quelle: </w:t>
      </w:r>
      <w:r>
        <w:t>https://mcp.opencaselaw.ch/entscheid/ge_gerichte_ATA_887_2023</w:t>
      </w:r>
    </w:p>
    <w:p>
      <w:r>
        <w:t>FR: GE_GERICHTE ATA/887/2023 du 22 août 2023</w:t>
      </w:r>
    </w:p>
    <w:p>
      <w:r>
        <w:t>IT: GE_GERICHTE ATA/887/2023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demande à être entendue, et se plaint d'une violation de son droit d'être entendue pour le motif qu'elle ne l'a pas été par le TAPI.</w:t>
      </w:r>
    </w:p>
    <w:p>
      <w:r>
        <w:t>- 6/14 - A/2062/2022 2.1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144 II 427 consid. 3.1.3 ; 141 I 60 consid. 1.3). En outre, il n'implique pas le droit d'être entendu oralement, ni celui d'obtenir l'audition de témoins (ATF 134 I 140 consid. 5.3 ; arrêt du Tribunal fédéral 1C_411/2021 du 17 août 2022 consid. 2.3). 2.2 En l'espèce, la recourante indique seulement qu'elle souhaite être entendue pour faire connaître sa situation de vive voix, en particulier au sujet des violences domestiques qu'elle dit avoir subies dans son pays d'origine. Elle ne précise pas pourquoi la description de sa situation à cet égard ne pourrait se faire par écrit, étant rappelé d'une part qu'elle est assistée d'une avocate, et d'autre part que le droit d'être entendu ne confère pas de droit à être entendu oralement, la procédure administrative étant en principe écrite (art. 18 LPA). Il ne sera dès lors pas donné suite à sa demande d'audition, et le grief de violation du droit d'être entendu sera écarté pour les mêmes motifs. 3. Le litige porte sur la conformité au droit, d'une part, du refus de l'autorité intimée de préaviser favorablement le dossier de la recourante auprès du SEM pour l'octroi d'une autorisation de séjour pour cas individuel d'extrême gravité – la conclusion tendant à l'octroi d'une autorisation de séjour est ainsi irrecevable –, et d'autre part, du prononcé du renvoi de la recourante. 3.1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3.2 Le 1er janvier 2019 est entrée en vigueur une modification de la loi fédérale sur les étrangers (LEtr - RS 142.20) et de l'ordonnance relative à l'admission, au séjour et à l'exercice d'une activité lucrative du 24 octobre 2007 (OASA - RS 142.201). Conformément à l'art. 126 al. 1 LEI, les demandes déposées, comme en l'espèce, après le 1er janvier 2019 sont régies par le nouveau droit. 4. La recourante affirme se trouver dans un cas individuel d'extrême gravité.</w:t>
      </w:r>
    </w:p>
    <w:p>
      <w:r>
        <w:t>- 7/14 - A/2062/2022 4.1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du Sri Lanka. 4.2 Aux termes de l'art. 30 al. 1 let. b LEI, il est possible de déroger aux conditions d'admission (art. 18 à 29 LEI) notamment dans le but de tenir compte des cas individuels d'une extrême gravité ou d'intérêts publics majeurs. 4.3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w:t>
      </w:r>
    </w:p>
    <w:p>
      <w:r>
        <w:rPr>
          <w:b/>
        </w:rPr>
        <w:t>E. 11</w:t>
      </w:r>
    </w:p>
    <w:p>
      <w:r>
        <w:t>décembre 2015 consid. 5.2.1 ; 2C_369/2010 du 4 novembre 2010 consid. 4.1). 4.4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w:t>
      </w:r>
    </w:p>
    <w:p>
      <w:r>
        <w:rPr>
          <w:b/>
        </w:rPr>
        <w:t>E. 14</w:t>
      </w:r>
    </w:p>
    <w:p>
      <w:r>
        <w:t>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w:t>
      </w:r>
    </w:p>
    <w:p>
      <w:r>
        <w:t>- 8/14 - A/2062/2022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ATA/41/2022 du 18 janvier 2022 consid. 8c). 4.5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1er mars 2023, n. 5.6.10 ; ATA/1025/2022 du 11 octobre 2022 consid. 4c). L'art. 58a al. 1 LEI précise que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4.6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 4.7 La reconnaissance de l'existence d'un cas d'extrême gravité implique que la personne étrangère concernée se trouve dans une situation de détresse personnelle. Ses conditions de vie et d'existence doivent ainsi être mises en cause de manière</w:t>
      </w:r>
    </w:p>
    <w:p>
      <w:r>
        <w:t>- 9/14 - A/2062/2022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4.8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4.9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4.10 En l’espèce, s’agissant de la durée du séjour, celui de la recourante en Suisse est aujourd'hui de moins de cinq ans, de sorte qu'il ne s'agit clairement pas d'une longue durée au sens de la jurisprudence. De plus, cette durée doit être relativisée dès lors que ledit séjour s'est entièrement déroulé dans l’illégalité ou au bénéfice d’une simple tolérance des autorités de migration.</w:t>
      </w:r>
    </w:p>
    <w:p>
      <w:r>
        <w:t>- 10/14 - A/2062/2022 L'intégration sociale et professionnelle de la recourante ne saurait être qualifiée d'exceptionnelle au sens de la jurisprudence. Elle a travaillé depuis son arrivée dans l'économie domestique. Si elle n'a jamais recouru à l’aide sociale ni fait l'objet de condamnation pénale ni de poursuites pour dettes, ces éléments relèvent du comportement que l’on est en droit d’attendre de toute personne séjournant dans le pays (arrêts du Tribunal fédéral 2C_779/2016 du 13 septembre 2016 consid. 4.2 ; 2C_789/2014 du 20 février 2015 consid. 2.2.2 ; ATA/656/2023 du 20 juin 2023 consid. 3.7). De plus, si elle a dit vouloir suivre des cours de français, aucune pièce au dossier n'atteste de son niveau de maîtrise de la langue. Enfin, la recourante n'allègue pas s'être impliquée à un quelconque titre dans la vie culturelle ou associative genevoise, ni s'être créé des attaches particulièrement étroites avec la Suisse au point de rendre étranger son pays d'origine. S'agissant de ses possibilités de réintégration dans son pays d'origine, la recourante, âgée aujourd'hui de 59 ans, est née au Sri Lanka, dont elle parle l'une des deux langues principales, vraisemblablement le cinghalais. Elle y a vécu son enfance, son adolescence et une grande partie de sa vie d'adulte. En toute hypothèse, les années que la recourante a passées en Suisse ne l'ont pas rendue étrangère à sa culture d’origine ni à sa langue maternelle. La recourante n'invoque pas de problème de santé et, de retour dans son pays d'origine, elle pourra faire valoir les connaissances et l'expérience professionnelle acquises en Suisse. Quant aux violences domestiques dont elle dit avoir fait l'objet au Sri Lanka, elle n'a non seulement produit aucune pièce – expliquant dans son recours devant la chambre de céans ne pas avoir porté plainte par peur de représailles – mais aussi et surtout n'a donné aucune précision à leur sujet, même après avoir pris connaissance du jugement attaqué qui relevait ce point à juste titre. Seraient-elles établies qu'elles ne permettraient pas à elles seules de remplir les conditions d'un cas d'extrême gravité, un retour au pays pouvant se faire en restant à distance de la personne ayant commis les violences alléguées. Enfin, il sera relevé que l'autorité intimée n'avait pas à « fixer des objectifs » à la recourante ni à lui permettre de remplir les conditions légales d'un cas d'extrême gravité, ces conditions résultant de la situation personnelle d'un étranger, et devant en principe être réunies au moment où il dépose une telle demande. Au vu de ce qui précède, la recourante ne se trouve pas dans une situation de détresse personnelle au sens de l'art. 30 al. 1 let. b LEI. S'il est vrai qu'un retour dans son pays d'origine pourra engendrer pour elle certaines difficultés, elle ne se trouve pas dans une situation si rigoureuse que l'on ne saurait exiger son retour. L'autorité intimée était ainsi fondée à refuser de donner une suite positive à sa demande d'autorisation de séjour et l'instance précédente à confirmer ledit refus. 5. Reste à examiner la légalité du renvoi de la recourante, étant précisé qu'elle n'invoque aucun grief en lien avec cette question.</w:t>
      </w:r>
    </w:p>
    <w:p>
      <w:r>
        <w:t>- 11/14 - A/2062/2022 5.1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5.2 En l'espèce, aucun élément du dossier ne permet de retenir que l'exécution du renvoi de la recourante ne serait pas possible, licite ou ne pourrait être raisonnablement exigée. Mal fondé, le recours sera rejeté. 6. Vu l'issue du litige, un émolument de CHF 400.-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