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ATA/887/2015 vom 1. September 2015</w:t>
      </w:r>
    </w:p>
    <w:p>
      <w:r>
        <w:t>GE Cour de justice, 2015-09-01, FR</w:t>
      </w:r>
    </w:p>
    <w:p>
      <w:r>
        <w:rPr>
          <w:b/>
        </w:rPr>
        <w:t xml:space="preserve">Quelle: </w:t>
      </w:r>
      <w:r>
        <w:t>https://mcp.opencaselaw.ch/entscheid/ge_gerichte_ATA_887_2015</w:t>
      </w:r>
    </w:p>
    <w:p>
      <w:r>
        <w:t>FR: GE_GERICHTE ATA/887/2015 du 1 septembre 2015</w:t>
      </w:r>
    </w:p>
    <w:p>
      <w:r>
        <w:t>IT: GE_GERICHTE ATA/887/2015 del 1 settembre 2015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2014 consid. 1 ; ATA/327/2013 du 28 mai 2013 ; ATA/390/2008 du 29 juillet 2008 ; ATA/484/2007 du 2 octobre 2007).</w:t>
      </w:r>
    </w:p>
    <w:p>
      <w:r>
        <w:t>- 3/4 - A/4115/2010 2)</w:t>
      </w:r>
    </w:p>
    <w:p>
      <w:r>
        <w:t>Selon l’art. 87 al. 1 LPA, la juridiction administrative qui rend la décision statue sur les frais de procédure et émoluments.</w:t>
      </w:r>
    </w:p>
    <w:p>
      <w:r>
        <w:t>Compte tenu de l’issue du litige, aucun émolument ne sera mis à la charge des HUG (art. 87 al. 1 de la loi sur la procédure administrative du 12 septembre 1985 - LPA - E 5 10). En revanche, les HUG seront condamnés à verser à la recourante une indemnité de procédure de CHF 2’500.- (art. 87 al. 2 LPA). 3)</w:t>
      </w:r>
    </w:p>
    <w:p>
      <w:r>
        <w:t>Il ne sera pas perçu d’émolument pour le présent arrêt (ATA/110/2015 précité).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