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ATA/886/2023 vom 22. August 2023</w:t>
      </w:r>
    </w:p>
    <w:p>
      <w:r>
        <w:t>GE Cour de justice, 2023-08-22, FR</w:t>
      </w:r>
    </w:p>
    <w:p>
      <w:r>
        <w:rPr>
          <w:b/>
        </w:rPr>
        <w:t xml:space="preserve">Quelle: </w:t>
      </w:r>
      <w:r>
        <w:t>https://mcp.opencaselaw.ch/entscheid/ge_gerichte_ATA_886_2023</w:t>
      </w:r>
    </w:p>
    <w:p>
      <w:r>
        <w:t>FR: GE_GERICHTE ATA/886/2023 du 22 août 2023</w:t>
      </w:r>
    </w:p>
    <w:p>
      <w:r>
        <w:t>IT: GE_GERICHTE ATA/886/2023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du refus de délivrer une AUADP au recourant, en application du régime transitoire prévu par la LTVTC. 3. De jurisprudence constante, la chambre administrative est habilitée à revoir, à titre préjudiciel et à l’occasion de l’examen d’un cas concret, la conformité des normes de droit cantonal au droit fédéral (ATA/675/2021 du 29 juin 2021 consid. 6 ; Pierre MOOR/Alexandre FLÜCKIGER/Vincent MARTENET, Droit administratif, vol. 1, 3e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 ATA/1299/2020 du 15 décembre 2020 consid. 4a ; Giorgio MALINVERNI/Michel HOTTELIER/ Maya HERTIG RANDALL/Alexandre FLÜCKIGER, Droit constitutionnel suisse, vol. 1, 4e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(ATA/1367/2019 du 10 septembre 2019 consid. 6b ; Pierre MOOR/Alexandre FLÜCKIGER/Vincent MARTENET, op. cit., p. 352 ss n. 2.7.4.2).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 l’expression « contrôle préjudiciel général » (Giorgio MALINVERNI/Michel HOTTELIER/ Maya HERTIG RANDALL/Alexandre FLÜCKIGER, op. cit.,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w:t>
      </w:r>
    </w:p>
    <w:p>
      <w:r>
        <w:t>- 5/12 - A/620/2023 Giorgio MALINVERNI/Michel HOTTELIER/Maya HERTIG RANDALL/Alexandre FLÜCKIGER, op. cit., p. 736 n. 1991). Le PCTN pouvait ainsi examiner le grief tiré d’une violation du principe de non-rétroactivité des lois. 4. La LTVTC, actuellement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4.1 Dans sa présentation du projet de loi,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4.2 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4.3 À l’issue de la séance du 28 janvier 2022, le Grand Conseil a adopté la LTVTC (loi 12'649), publiée le 4 février 2022 dans la Feuille d’avis officielle de la République et canton de Genève (ci-après : FAO) fixant le délai référendaire au 16 mars 2022. 4.4 Vu l’expiration du délai référendaire, le Conseil d’État a, par arrêté du 23 mars 2022 publié dans la FAO du 25 mars 2022, promulgué la LTVTC pour être exécutoire dans tout le canton dès le lendemain de la publication dudit arrêté,</w:t>
      </w:r>
    </w:p>
    <w:p>
      <w:r>
        <w:t>- 6/12 - A/620/2023 l’entrée en vigueur de la loi devant être fixée ultérieurement par le Conseil d’État. Lors de son communiqué hebdomadaire du 19 octobre 2022, le Conseil d’État a annoncé que la LTVTC et son règlement d’application entreraient en vigueur le 1er novembre 2022.</w:t>
      </w:r>
    </w:p>
    <w:p>
      <w:r>
        <w:rPr>
          <w:b/>
        </w:rPr>
        <w:t>E. 5</w:t>
      </w:r>
    </w:p>
    <w:p>
      <w:r>
        <w:t>Le recourant considère que l’art. 46 al. 13 LTVTC n’est pas conforme au principe de la non-rétroactivité des lois, dans la mesure où il prend en compte la date du dépôt de ladite loi, et non son entrée en vigueur, pour examiner la condition de l’usage effectif de l’AUADP. Cet argument semble confondre deux questions distinctes, à savoir, d’une part, celle de la non-rétroactivité des lois et, d’autre part, celle des modalités du régime transitoire. Il convient de les examiner l’une après l’autre.</w:t>
      </w:r>
    </w:p>
    <w:p>
      <w:r>
        <w:rPr>
          <w:b/>
        </w:rPr>
        <w:t>E. 5.1</w:t>
      </w:r>
    </w:p>
    <w:p>
      <w:r>
        <w:t>L’art. 46 al. 13 LTVTC dispose, sous l’intitulé « Attribution des autorisations restituées ou caduques », que : «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w:t>
      </w:r>
    </w:p>
    <w:p>
      <w:r>
        <w:rPr>
          <w:b/>
        </w:rPr>
        <w:t>E. 5.2</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w:t>
      </w:r>
    </w:p>
    <w:p>
      <w:r>
        <w:rPr>
          <w:b/>
        </w:rPr>
        <w:t>E. 5.3</w:t>
      </w:r>
    </w:p>
    <w:p>
      <w:r>
        <w:t>En l’espèce, la requête – c’est-à-dire le fait juridiquement déterminant – du recourant auprès du PCTN en vue de l’obtention d’une AUADP date du 2 novembre 2022, soit après l’entrée en vigueur de la nouvelle LTVTC. Cette demande doit donc s’examiner au regard de la nouvelle réglementation, conformément au principe général du droit intertemporel rappelé par la</w:t>
      </w:r>
    </w:p>
    <w:p>
      <w:r>
        <w:t>- 7/12 - A/620/2023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w:t>
      </w:r>
    </w:p>
    <w:p>
      <w:r>
        <w:rPr>
          <w:b/>
        </w:rPr>
        <w:t>E. 6</w:t>
      </w:r>
    </w:p>
    <w:p>
      <w:r>
        <w:t>Le recourant soulève aussi la question des modalités du régime transitoire. Celle- ci implique au préalable d’examiner si la nouvelle réglementation entrée en vigueur le 1er novembre 2022 exige la mise en place d’un régime transitoire en faveur du recourant. Celui-ci est chauffeur de taxi louant une AUADP depuis décembre 2020, après avoir obtenu la carte professionnelle de chauffeur de taxi en juin 2019.</w:t>
      </w:r>
    </w:p>
    <w:p>
      <w:r>
        <w:rPr>
          <w:b/>
        </w:rPr>
        <w:t>E. 6.1</w:t>
      </w:r>
    </w:p>
    <w:p>
      <w:r>
        <w:t>L'ordre juridique suisse peut être modifié à tout moment, conformément aux principes régissant la démocratie. Il n'existe pas, selon le Tribunal fédéral, de droit au maintien d'une certaine législation (arrêt du Tribunal fédéral 2E_3/2020 du</w:t>
      </w:r>
    </w:p>
    <w:p>
      <w:r>
        <w:rPr>
          <w:b/>
        </w:rPr>
        <w:t>E. 6.2</w:t>
      </w:r>
    </w:p>
    <w:p>
      <w:r>
        <w:t>La présente espèce se distingue des affaires ayant donné lieu aux ATA/525/2023 du 23 mai 2023 et ATA/687/2023 du 27 juin 2023. Celles-ci concernaient respectivement un chauffeur de taxi louant une AUADP depuis mai et juillet 2022, soit une période postérieure tant à la publication de l’adoption, le 28 janvier 2022, de la nouvelle LTVTC dans la FAO du 4 février 2022 qu’à la promulgation de cette loi, publiée dans la FAO du 25 mars 2022. Cette seconde publication constatait, d’une part, l’expiration du délai référendaire sans utilisation du référendum contre la nouvelle LTVTC et annonçait, d’autre part, sa future entrée en vigueur à une date à fixer ultérieurement par le Conseil d’État. Le recourant loue une AUADP depuis décembre 2020, après avoir obtenu la carte professionnelle de chauffeur de taxi le 11 juin 2019 et signé le 1er décembre 2020 le contrat « de mise à disposition » y relatif. Ces deux dates correspondent à une période antérieure aux deux publications précitées, ce qui constitue une différence importante avec les affaires susmentionnées. Contrairement à celles-ci, le recourant ne savait ni ne pouvait de bonne foi savoir, au moment où il a conclu le contrat de location de l’AUADP le 1er décembre 2020, que la nouvelle LTVTC, et en particulier son art. 46 al. 13, serait adoptée, ni que l’exercice de la profession de chauffeur de taxi par le biais de la location d’une AUADP serait définitivement interdit par la loi. Une telle issue était alors seulement hypothétique vu les travaux législatifs en cours. Autre était la situation du chauffeur de taxi visé par l’arrêt précité de mai 2023, qui devait, pour les raisons susévoquées, connaître et s’attendre audit changement de loi et de pratique lorsqu’il a décidé, en mai 2022, d’exercer la profession de chauffeur de taxi moyennant la location d’une AUADP. Il va de soi que l’existence d’une probabilité qu’un événement se réalise n’est pas comparable à la survenance de celui-ci. Celle-ci supprime, à l’instar de la situation traitée dans l’arrêt de mai 2023, tout doute quant à sa réalisation. Ce même raisonnement s’applique à l’affaire susmentionnée de juin 2023.</w:t>
      </w:r>
    </w:p>
    <w:p>
      <w:r>
        <w:rPr>
          <w:b/>
        </w:rPr>
        <w:t>E. 6.3</w:t>
      </w:r>
    </w:p>
    <w:p>
      <w:r>
        <w:t>Ainsi, les situations exigeant l’instauration d’un régime transitoire par le législateur résultent d’une pesée des intérêts entre la protection de la bonne foi et le principe de la légalité impliquant, en général, une entrée en vigueur immédiate du nouveau droit. À cet égard, la jurisprudence précitée rappelle que cette mise en balance s’effectue uniquement s’il existe des intérêts dignes de protection, eu égard non seulement au principe de la légalité mais également à ceux de l’égalité de traitement et de la sécurité du droit. Tel n’est pas le cas si le but de l’administré est de profiter le plus longtemps possible de l’ancien régime plus favorable.</w:t>
      </w:r>
    </w:p>
    <w:p>
      <w:r>
        <w:t>- 9/12 - A/620/2023 Conformément aux deux conditions cumulatives découlant de la jurisprudence susmentionnée, la mise en place d’un régime transitoire présuppose d’abord d’avoir bénéficié de l’application de l’ancien droit, ce qui a été le cas du recourant dès décembre 2020. La seconde condition implique que le recourant ait dû supporter un sacrifice trop important découlant du changement de législation. Il convient de rappeler que le législateur, auteur de la réglementation en cause, dispose d’une large marge d’appréciation et que le but poursuivi par la norme est un critère décisif pour déterminer la date d’entrée en vigueur ainsi que ses modalités, compte tenu de la jurisprudence précitée. Dès lors, la notion jurisprudentielle de « sacrifice trop important » étant une notion juridiquement indéterminée, il revient, en premier lieu, au législateur de la préciser à l’aune du but poursuivi par la nouvelle réglementation et dans le respect des principes constitutionnels, tels que celui de la légalité, de la bonne foi et l’égalité de traitement.</w:t>
      </w:r>
    </w:p>
    <w:p>
      <w:r>
        <w:rPr>
          <w:b/>
        </w:rPr>
        <w:t>E. 6.4</w:t>
      </w:r>
    </w:p>
    <w:p>
      <w:r>
        <w:t>Une des nouveautés importantes de la nouvelle LTVTC, entrée en vigueur le 1er novembre 2022, est la suppression de la cession des AUADP (art. 13 al. 3 LTVTC) et de toute possibilité de location de plaque ou de bail à ferme (p. 123 et 236 du Rapport A), rediscutée lors du deuxième renvoi en commission (p. 3, 7, 10 ss, 20 ss et 39 ss Rapport B). Ce changement législatif a des répercussions tant sur les bailleurs que sur les locataires des AUADP, pour lesquels un régime transitoire a été prévu à l’art. 46 al. 8 à 12 pour les premiers et à l’art. 46 al. 13 pour les seconds. Les al. 8 à 12 précités se trouvent, à l’art. 46 LTVTC, sous l’intitulé « Interdiction de la mise à disposition des [AUADP] » et l’al. 13 précité sous celui « Attribution des autorisations restituées ou caduques ». L’art. 46 al. 13 LTVTC pose quatre conditions que le locataire d’une AUADP sous l’ancien droit doit remplir : être l’utilisateur effectif de l’AUADP « au moment du dépôt de la présente loi », l’être « toujours […] au moment de l’adoption de la loi », faire la requête de l’AUADP et réaliser les conditions de délivrance de l’AUADP visées à l’art. 13 al. 5 LTVTC. Cette norme-ci exige entre autres d’être titulaire d’une carte professionnelle et d’en réaliser toujours les conditions d’octroi (let. a), de ne pas avoir contrevenu, dans les trois années précédant la requête, de manière grave ou répétée aux dispositions de la LTVTC ou à ses normes d’exécution (let. b) et de s’être acquitté de la taxe annuelle (let. c). Parmi les quatre conditions précitées posées par l’art. 46 al. 13 LTVTC, est en l’espèce litigieuse celle exigeant d’être utilisateur effectif de l’AUADP « au moment du dépôt de la présente loi ». Il convient ainsi d’examiner la volonté du législateur sur ce point à la lumière des travaux préparatoires, afin de cerner la notion de « sacrifice trop important » justifiant, aux yeux du législateur genevois, un régime transitoire en faveur des locataires des AUADP aux conditions susmentionnées.</w:t>
      </w:r>
    </w:p>
    <w:p>
      <w:r>
        <w:t>- 10/12 - A/620/2023</w:t>
      </w:r>
    </w:p>
    <w:p>
      <w:r>
        <w:rPr>
          <w:b/>
        </w:rPr>
        <w:t>E. 6.5</w:t>
      </w:r>
    </w:p>
    <w:p>
      <w:r>
        <w:t>Après avoir examiné en détail les travaux parlementaires ayant précédé à l’adoption de la nouvelle LTVTC, la chambre administrative a récemment procédé à cet examen dans une situation comparable à la présente espèce (ATA/779/2023 du 18 juillet 2023). En effet, à l’instar de la présente affaire, le recourant avait conclu le contrat de location avant l’adoption de la nouvelle LTVTC. Dans cet arrêt, la chambre de céans a considéré que le texte formellement adopté, en tant qu’il se référait à l’AUADP « au moment du dépôt de la présente loi », ne reflétait pas la volonté du législateur genevois. À aucun moment, ni la commission parlementaire, ni d’ailleurs le Grand Conseil, n’avaient voulu limiter le cercle des utilisateurs effectifs d’AUADP, qui avaient de bonne foi recouru à la location des plaques, à d’autres conditions que celles votées par la commission parlementaire à la fin du 3e débat du premier renvoi en commission, juste avant son vote final (p. 236 du Rapport A) qui prévoyaient uniquement l’utilisation d’une AUADP au moment de l’adoption de la loi. L’introduction du critère litigieux consistant à exiger d’avoir aussi été locataire effectif « au moment du dépôt de la présente loi », était par ailleurs difficile à comprendre, compte tenu en particulier du contexte exceptionnel lié à la crise sanitaire survenue peu après le dépôt du PL 12'649. Celle-ci avait non seulement conduit au confinement dès mi-mars 2020 mais également à plusieurs restrictions affectant la population dans ses rapports sociaux et économiques, et ce pendant la période visée par la teneur en vigueur de l’art. 46 al. 13 LTVTC, soit de fin février 2020 à fin janvier 2022. Dans un contexte si singulier, il était surprenant qu’aucune référence n’y soit faite alors qu’était en cause un régime censé assurer une transition la moins abrupte possible aux locataires des AUADP. La formulation de la condition litigieuse était, au demeurant, erronée puisqu’au moment du dépôt seul existait un projet de loi, et non la loi. Le fait de circonscrire le cercle des locataires d’AUADP aux utilisateurs effectifs au moment de l’adoption de la nouvelle loi permettait d’assurer le respect du principe de la bonne foi, en évitant des abus consistant à louer une AUADP pour pouvoir bénéficier de l’application de l’art. 46 al. 13 LTVTC et ainsi court- circuiter l’ordre prévu dans la liste d’attente. Comme déjà relevé dans les ATA/525/2023 et ATA/687/2023 précités, le régime transitoire ne servait pas à tirer profit de l’ancien droit le plus longtemps possible, mais à permettre un passage en douceur pour les personnes subissant des sacrifices trop importants du fait de la nouvelle réglementation. Considérer que tel était le cas des personnes utilisant effectivement les AUADP au moment de l’adoption de la LTVTC était soutenable au regard du but poursuivi par la nouvelle réglementation et de l’importance, pour les membres de la commission parlementaire, de supprimer les abus liés à la pratique des locations de plaques. En conclusion, et malgré la lettre de l’art. 46 al. 13 LTVTC, il y avait lieu de considérer qu’il n’était pas décisif que le recourant ait été utilisateur d’une</w:t>
      </w:r>
    </w:p>
    <w:p>
      <w:r>
        <w:t>- 11/12 - A/620/2023 AUADP au moment du dépôt du projet de loi le 26 février 2020 (ATA/779/2023 du 18 juillet 2023 consid. 5).</w:t>
      </w:r>
    </w:p>
    <w:p>
      <w:r>
        <w:rPr>
          <w:b/>
        </w:rPr>
        <w:t>E. 6.6</w:t>
      </w:r>
    </w:p>
    <w:p>
      <w:r>
        <w:t>À l’aune de cette jurisprudence récente de la chambre de céans, il convient donc d’examiner si le recourant était utilisateur effectif d’une AUADP au moment de l’adoption de la nouvelle LTVTC, le 28 janvier 2022. En l’espèce, il ressort du dossier que le recourant était utilisateur effectif de l’AUADP depuis décembre 2020, et cela de manière continue jusqu’au dépôt de sa requête au sens de l’art. 46 al. 13 LTVTC intervenu le 2 novembre 2022. Ainsi, au moment déterminant de l’adoption de la LTVTC le 28 janvier 2022, le recourant était bien utilisateur effectif d’une AUADP. Il remplit ainsi la condition y relative. Il a en outre déposé ladite demande début novembre 2022, quelques jours après l’entrée en vigueur de la nouvelle loi. Il n’apparaît pas que le recourant était une entreprise de diffusion de courses selon l’art. 46 al. 5 LTVTC. Il remplit ainsi a priori les conditions d’octroi d’une AUADP au sens de l’art. 46 al. 13 LTVTC. Partant, le recours sera admis et le dossier renvoyé au PCTN afin qu’il délivre une AUADP au recourant, pour autant que les autres conditions soient remplies. 7. Vu l’issue du litige, aucun émolument ne sera perçu et une indemnité de procédure de CHF 1'000.- sera allouée au recourant (art. 87 LPA).</w:t>
      </w:r>
    </w:p>
    <w:p>
      <w:r>
        <w:t>* * * * *</w:t>
      </w:r>
    </w:p>
    <w:p>
      <w:r>
        <w:rPr>
          <w:b/>
        </w:rPr>
        <w:t>E. 11</w:t>
      </w:r>
    </w:p>
    <w:p>
      <w:r>
        <w:t>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w:t>
      </w:r>
    </w:p>
    <w:p>
      <w:r>
        <w:t>- 8/12 - A/620/2023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