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ATA/885/2016 vom 20. Oktober 2016</w:t>
      </w:r>
    </w:p>
    <w:p>
      <w:r>
        <w:t>GE Cour de justice, 2016-10-20, FR</w:t>
      </w:r>
    </w:p>
    <w:p>
      <w:r>
        <w:rPr>
          <w:b/>
        </w:rPr>
        <w:t xml:space="preserve">Quelle: </w:t>
      </w:r>
      <w:r>
        <w:t>https://mcp.opencaselaw.ch/entscheid/ge_gerichte_ATA_885_2016</w:t>
      </w:r>
    </w:p>
    <w:p>
      <w:r>
        <w:t>FR: GE_GERICHTE ATA/885/2016 du 20 octobre 2016</w:t>
      </w:r>
    </w:p>
    <w:p>
      <w:r>
        <w:t>IT: GE_GERICHTE ATA/885/2016 del 20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 recours le 10 octobre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- 4/7 - A/3137/2016</w:t>
      </w:r>
    </w:p>
    <w:p>
      <w:r>
        <w:rPr>
          <w:b/>
        </w:rPr>
        <w:t>E. 4</w:t>
      </w:r>
    </w:p>
    <w:p>
      <w:r>
        <w:t>L’autorité cantonale peut enjoindre à un étranger, qui n’est pas titulaire d’une autorisation de courte durée, de séjour ou d’établissement et qui trouble ou menace la sécurité et l’ordre publics, de ne pas quitter le territoire qui lui est assigné ou de ne pas pénétrer dans une région déterminée, notamment en vue de lutter contre le trafic illégal de stupéfiants (art. 74 al. 1 let. a LEtr). Les conditions d’application de cette disposition sont cumulatives.</w:t>
      </w:r>
    </w:p>
    <w:p>
      <w:r>
        <w:t>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C'est ainsi sur la notion très générale de la protection des biens par la police qu'il y a lieu de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t>L'étranger peut être contraint à ne pas pénétrer dans une région déterminée, aux conditions prévues par l'art. 74 al. 1 let. a LEtr, notamment suite à une condamnation pour vol, brigandage, lésions corporelles intentionnelles, dommage à la propriété ou pour une infraction à la loi fédérale sur les stupéfiants et les substances psychotropes du 3 octobre 1951 (LStup - RS 812.121 ; art. 6 al. 3 LaLEtr).</w:t>
      </w:r>
    </w:p>
    <w:p>
      <w:r>
        <w:rPr>
          <w:b/>
        </w:rPr>
        <w:t>E. 5</w:t>
      </w:r>
    </w:p>
    <w:p>
      <w:r>
        <w:t>En l'espèce, le recourant n'est au bénéfice d'aucune autorisation de courte durée, de séjour ou d'établissement au sens de l'art. 74 al. 1 let. a LEtr.</w:t>
      </w:r>
    </w:p>
    <w:p>
      <w:r>
        <w:t>Il a fait par ailleurs l’objet de nombreuses condamnations pénales pour des infractions contre le patrimoine, la dernière remontant à septembre 2016, ce qui dénote une absence de prise de conscience persistante puisqu’il a déjà fait l’objet d’une mesure d’interdiction de zone fondée sur ce comportement pénal (arrêt du Tribunal fédéral 2C_1142/2014 déjà cité). Son comportement constitue dès lors une menace pour la sécurité et l’ordre publics, qu’il y a lieu de protéger.</w:t>
      </w:r>
    </w:p>
    <w:p>
      <w:r>
        <w:t>Les conditions posées par l’art. 74 al. 1 let. a LEtr son ainsi réalisées, ce que le recourant ne conteste pas.</w:t>
      </w:r>
    </w:p>
    <w:p>
      <w:r>
        <w:t>- 5/7 - A/3137/2016</w:t>
      </w:r>
    </w:p>
    <w:p>
      <w:r>
        <w:rPr>
          <w:b/>
        </w:rPr>
        <w:t>E. 6</w:t>
      </w:r>
    </w:p>
    <w:p>
      <w:r>
        <w:t>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t>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w:t>
      </w:r>
    </w:p>
    <w:p>
      <w:r>
        <w:rPr>
          <w:b/>
        </w:rPr>
        <w:t>E. 7</w:t>
      </w:r>
    </w:p>
    <w:p>
      <w:r>
        <w:t>Dans le cas présent, le recourant allègue en vain la nécessité de se rendre au 8, rue de B______ pour relever son courrier ou à la pharmacie du boulevard C______ pour y retirer ses médicaments. Ce sont là des aménagements relevant de la convenance personnelle.</w:t>
      </w:r>
    </w:p>
    <w:p>
      <w:r>
        <w:t>Sans domicile fixe, le recourant ne peut prétendre devoir se rendre à un endroit sis à l’intérieur du périmètre prohibé pour y retirer son courrier. Il lui appartient de faire le nécessaire pour trouver une autre solution lui permettant de recevoir son courrier hors de ce périmètre, de la même manière qu’il a pu mettre ne place le système de distribution actuel.</w:t>
      </w:r>
    </w:p>
    <w:p>
      <w:r>
        <w:t>Quant à la pharmacie, il ressort du dossier que celle-ci est à même de livrer les médicaments dont il a besoin soit hors du périmètre prohibé, soit au CAMSCO à l’intention du recourant. Là encore, il lui appartient de prendre les dispositions utiles.</w:t>
      </w:r>
    </w:p>
    <w:p>
      <w:r>
        <w:t>Au regard de la jurisprudence du Tribunal fédéral rappelée ci-dessus et des circonstances présentes, y compris du passé délictueux de l’intéressé, on ne voit pas quelle mesure moins incisive que celle prononcée le 14 septembre 2016 par le commissaire de police permettrait d’éviter de nouvelles violations contre la sécurité et l’ordre publics au centre-ville.</w:t>
      </w:r>
    </w:p>
    <w:p>
      <w:r>
        <w:t>En conséquence, la mesure litigieuse est conforme au principe de la proportionnalité.</w:t>
      </w:r>
    </w:p>
    <w:p>
      <w:r>
        <w:rPr>
          <w:b/>
        </w:rPr>
        <w:t>E. 8</w:t>
      </w:r>
    </w:p>
    <w:p>
      <w:r>
        <w:t>Au vu de ce qui précède, le recours sera rejeté.</w:t>
      </w:r>
    </w:p>
    <w:p>
      <w:r>
        <w:t>- 6/7 - A/3137/2016</w:t>
      </w:r>
    </w:p>
    <w:p>
      <w:r>
        <w:t>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