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ATA/881/2016 vom 18. Oktober 2016</w:t>
      </w:r>
    </w:p>
    <w:p>
      <w:r>
        <w:t>GE Cour de justice, 2016-10-18, FR</w:t>
      </w:r>
    </w:p>
    <w:p>
      <w:r>
        <w:rPr>
          <w:b/>
        </w:rPr>
        <w:t xml:space="preserve">Quelle: </w:t>
      </w:r>
      <w:r>
        <w:t>https://mcp.opencaselaw.ch/entscheid/ge_gerichte_ATA_881_2016</w:t>
      </w:r>
    </w:p>
    <w:p>
      <w:r>
        <w:t>FR: GE_GERICHTE ATA/881/2016 du 18 octobre 2016</w:t>
      </w:r>
    </w:p>
    <w:p>
      <w:r>
        <w:t>IT: GE_GERICHTE ATA/881/2016 del 18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(ATA/916/2015 précité consid. 2b et jurisprudence citée).</w:t>
      </w:r>
    </w:p>
    <w:p>
      <w:r>
        <w:rPr>
          <w:b/>
        </w:rPr>
        <w:t>E. 3</w:t>
      </w:r>
    </w:p>
    <w:p>
      <w:r>
        <w:t>La demande d’avance de frais est considérée comme notifiée au recourant lorsqu’elle parvient dans sa sphère de maîtrise. En cas de pli recommandé, c’est la date de réception de celui-ci qui fait foi. En cas d’absence du recourant, la décision est considérée comme notifiée valablement à l’échéance du délai de garde de sept jours courant après la première tentative infructueuse de distribution (art. 62 al. 4 LPA), pour autant que celui-ci ait dû s’attendre, avec une certaine vraisemblance, à recevoir une communication de l’autorité, ce qui est le cas chaque fois qu’il est partie à la procédure (ATF 130 III 396 consid. 1.2.3 p. 399 ; arrêt du Tribunal fédéral 6B_239/2011 du 22 mars 2012 consid. 3.5 ; ATA/143/2015 du 3 février 2015 consid. 1b).</w:t>
      </w:r>
    </w:p>
    <w:p>
      <w:r>
        <w:rPr>
          <w:b/>
        </w:rPr>
        <w:t>E. 4</w:t>
      </w:r>
    </w:p>
    <w:p>
      <w:r>
        <w:t>À rigueur de texte, l'art. 86 LPA ne laisse aucune place à des circonstances extraordinaires qui justifieraient que l’avance de frais n’intervienne pas dans le</w:t>
      </w:r>
    </w:p>
    <w:p>
      <w:r>
        <w:t>- 4/6 - A/2678/2016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ATA/916/2015 du 8 septembre 2015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 15 p. 1283).</w:t>
      </w:r>
    </w:p>
    <w:p>
      <w:r>
        <w:rPr>
          <w:b/>
        </w:rPr>
        <w:t>E. 5</w:t>
      </w:r>
    </w:p>
    <w:p>
      <w:r>
        <w:t>Un délai de paiement au 19 septembre 2016, qui constitue un délai raisonnable au sens de l’art. 86 al. 1 LPA, a été imparti aux recourants par pli recommandé du 18 août 2016. Celui-ci n’a pas pu être distribué, que ce soit à eux-mêmes ou à leur représentant, ni le 19 août 2016 ni dans les jours qui ont suivi jusqu’au 26 août 2016, date d’échéance du délai de garde imparti par la poste pour le retirer, malgré l’avis de retrait déposé dans leur boîte aux lettres. Cela signifie que les recourants ou leur représentant en leur absence n’ont pas pris toutes les dispositions nécessaires pour traiter la correspondance susceptible de provenir de l’instance de recours qu’ils venaient de saisir. L’absence de leur domicile pour cause de vacances ou d’un représentant pour relever leur courrier durant cette période ne constituant pas un cas de force majeur qui autoriserait une restitution de délai, le jugement d’irrecevabilité du TAPI ne peut qu’être confirmé.</w:t>
      </w:r>
    </w:p>
    <w:p>
      <w:r>
        <w:rPr>
          <w:b/>
        </w:rPr>
        <w:t>E. 6</w:t>
      </w:r>
    </w:p>
    <w:p>
      <w:r>
        <w:t>Vu l’issue du litige, un émolument de CHF 400.- sera mis à la charge des recourants (art. 87 al. 1 LPA). Aucune indemnité de procédure ne leur sera allouée (art. 87 al. 2 LPA).</w:t>
      </w:r>
    </w:p>
    <w:p>
      <w:r>
        <w:t>* * * * *</w:t>
      </w:r>
    </w:p>
    <w:p>
      <w:r>
        <w:t>- 5/6 - A/2678/2016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