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ATA/881/2014 vom 11. November 2014</w:t>
      </w:r>
    </w:p>
    <w:p>
      <w:r>
        <w:t>GE Cour de justice, 2014-11-11, FR</w:t>
      </w:r>
    </w:p>
    <w:p>
      <w:r>
        <w:rPr>
          <w:b/>
        </w:rPr>
        <w:t xml:space="preserve">Quelle: </w:t>
      </w:r>
      <w:r>
        <w:t>https://mcp.opencaselaw.ch/entscheid/ge_gerichte_ATA_881_2014</w:t>
      </w:r>
    </w:p>
    <w:p>
      <w:r>
        <w:t>FR: GE_GERICHTE ATA/881/2014 du 11 novembre 2014</w:t>
      </w:r>
    </w:p>
    <w:p>
      <w:r>
        <w:t>IT: GE_GERICHTE ATA/881/2014 del 11 novembre 2014</w:t>
      </w:r>
    </w:p>
    <w:p>
      <w:pPr>
        <w:pStyle w:val="Heading2"/>
      </w:pPr>
      <w:r>
        <w:t>Regeste</w:t>
      </w:r>
    </w:p>
    <w:p>
      <w:r>
        <w:t>Résumé: Selon la jurisprudence du Tribunal fédéral, les concubins ne constituent pas une catégorie de contribuables, ils sont imposés séparément comme les personnes vivant seules et il n'est pas tenu compte de la communauté de fait qu'ils forment. Par ailleurs, en présence d'impôts spéciaux, comme les droits de succession, les principes de l'art. 127 al. 2 Cst. n'ont qu'une portée restreinte et les règles jurisprudentielles d'harmonisation fiscale ne sont pas applicables de manière impérative. Un concubin vivant dans des conditions de vie de couple en union libre, ne peut pas prétendre à une exonération fiscale sur les droits de succession du fait de sa situation de fait différente de celle d'une personne mariée ou ayant conclu un contrat de partenariat.</w:t>
      </w:r>
    </w:p>
    <w:p>
      <w:pPr>
        <w:pStyle w:val="Heading2"/>
      </w:pPr>
      <w:r>
        <w:t>Erwägungen</w:t>
      </w:r>
    </w:p>
    <w:p>
      <w:r>
        <w:rPr>
          <w:b/>
        </w:rPr>
        <w:t>E. 12</w:t>
      </w:r>
    </w:p>
    <w:p>
      <w:r>
        <w:t>septembre 1985 - LPA - E 5 10). 2)</w:t>
      </w:r>
    </w:p>
    <w:p>
      <w:r>
        <w:t>Dans un grief de nature formelle, le recourant reproche au TAPI d’avoir violé son droit d’être entendu en n’examinant pas la compatibilité de la législation cantonale avec son droit au mariage. Il se plaint implicitement d’un défaut de motivation.</w:t>
      </w:r>
    </w:p>
    <w:p>
      <w:r>
        <w:t>Tel que garanti par les art. 29 al. 2 de la Constitution fédérale de la Confédération suisse du 18 avril 1999 (Cst. - RS 101) et 6 § 1 de la Convention de sauvegarde des droits de l’homme et des libertés fondamentales du 4 novembre 1950 (CEDH - RS 0.101), le droit d’être entendu comprend le droit d’obtenir une décision motivée.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p. 183 ; 134 I 83 consid. 4.1 p. 88 ; arrêts du Tribunal fédéral 2C_1103/2013 du 26 juillet 2014 consid. 4.2 et 1B_160/2014 du 20 juin 2014 consid. 2.1). Il suffit, de ce point de vue, que les parties puissent se rendre compte de la portée de la décision prise à leur égard et, les cas échéant, recourir contre elle en connaissance de cause (ATF 136 I 184 consid. 2.2.1 p. 188 ; arrêt du Tribunal fédéral 2C_894/2012 du 4 février 2013 consid. 2). La motivation peut</w:t>
      </w:r>
    </w:p>
    <w:p>
      <w:r>
        <w:t>- 5/9 - A/2583/2013 aussi être implicite et résulter des différents considérants de la décision (arrêts du Tribunal fédéral 1B_120/2014 du 20 juin 2014 consid. 2.1 et 2C_23/2009 du 25 mai 2009 consid. 3.1).</w:t>
      </w:r>
    </w:p>
    <w:p>
      <w:r>
        <w:t>En l’espèce, il ressort des faits du jugement attaqué que le TAPI a traité le grief du recourant de violation de son droit au mariage qui, du reste, est étroitement lié à ceux de violation des principes de l’égalité de traitement des concubins par rapport aux couples mariés et de leur non-discrimination sur lesquels le TAPI s’est prononcé. Des considérants du jugement attaqué, il ressort en outre que la législation cantonale sur l’imposition de la succession n’est pas incompatible avec le droit au mariage du recourant.</w:t>
      </w:r>
    </w:p>
    <w:p>
      <w:r>
        <w:t>Le grief du recourant doit dès lors être écarté. 3)</w:t>
      </w:r>
    </w:p>
    <w:p>
      <w:r>
        <w:t>Le litige porte sur les droits de succession de M. A______ qui vivait en couple dans le cadre d’une union libre avec le défunt. 4)</w:t>
      </w:r>
    </w:p>
    <w:p>
      <w:r>
        <w:t>À teneur de l’art. 3 al. 4 2ème phr. de la loi fédérale sur l’harmonisation des impôts directs des cantons et des communes du 14 décembre 1990 (LHID - RS 642.14), les partenaires enregistrés ont le même statut que les époux.</w:t>
      </w:r>
    </w:p>
    <w:p>
      <w:r>
        <w:t>Selon la jurisprudence du Tribunal fédéral, les concubins ne constituent pas une catégorie de contribuables selon le droit fiscal; ils ne peuvent sans doute pas l'être parce que l'on se heurte à des difficultés pratiques pour les imposer comme tels. Les concubins qui exercent souvent l'un et l'autre une activité lucrative sont imposés séparément comme les personnes vivant seules et il n'est pas tenu compte de la communauté de fait qu'ils forment. La mise sur pied d'égalité des couples mariés et des concubins au point de vue fiscal ne peut être absolue car l'imposition séparée de chacun des époux dans un couple marié ne constitue pas une solution appropriée (ATF 118 Ia 1 consid. 3b p. 3 et 110 Ia 7 consid. 3d p. 19 ss). 5) a. Aux termes de l’art. 1A al. 1 de la loi sur les droits de succession du 26 novembre 1960 (LDS - D 3 25), les partenaires enregistrés, au sens de la loi fédérale sur le partenariat enregistré entre les personnes du même sexe du 18 juin 2004 (LPart - RS 211.231), ont le même statut que les conjoints. L’art. 6A al. 1 LDS prévoit que sont exemptes de tous droits les transmissions et attributions de biens au sens de l'art. 1 al. 2 LDS, en faveur du conjoint survivant (let. a) et des parents en ligne directe (let. b).</w:t>
      </w:r>
    </w:p>
    <w:p>
      <w:r>
        <w:t>b. L’adoption de l’art. 6A LDS relève notamment de la politique fiscale cantonale et de l’harmonisation horizontale (MCG 2001-2002 IV A 926-928). L’exonération de l’impôt successoral pour le conjoint, de même que pour les parents en ligne directe et les partenaires a comme objectif premier d’améliorer l’attractivité économique cantonale. Une exonération totale ne peut pas être accordée aux concubins et aux couples homosexuels, dans la mesure où ils sont</w:t>
      </w:r>
    </w:p>
    <w:p>
      <w:r>
        <w:t>- 6/9 - A/2583/2013 taxés séparément au titre de l’impôt sur le revenu et la fortune, alors que les conjoints ne le sont pas (MGC 2002-2003 X A 5492 let. a). Le législateur genevois a estimé raisonnable de supprimer les droits de succession des partenaires enregistrés au sens de la LPart, en considérant qu'ils avaient fait le choix d'être traités sur le plan fiscal au même titre que les couples mariés (MCG 2004-2005/XI A 9425 et MGC 2006-2007/II A 1198 et 1208). En revanche, lors des débats portant sur l’exonération des personnes liées par le partenariat enregistré dans le cadre de la modification de la LDS, les députés ont refusé le renvoi du projet de loi en commission afin d’examiner l’extension de l’exonération des droits de succession aux couples non mariés avec ou sans enfants qui n’étaient pas liés par un partenariat enregistré (MCG 2006-2007/II D/10 795). 6)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138 V 176 consid. 8.2 p. 183 ; 134 I 23 consid. 9.1 p. 42 ; 131 I 1 consid. 4.2 p. 6). Cela suppose que le traitement différent ou semblable injustifié se rapporte à une situation de fait importante (ATF 138 I 225 consid. 3.6.1 p. 229 ; 138 I 265 consid. 4.1 p. 267 ; ATF 137 V 334 consid. 6.2.1 p. 348 ; arrêt du Tribunal fédéral 8C_582/2013 du 2 mai 2014 consid. 6.2.1). L'inégalité de traitement apparaît ainsi comme une forme particulière d'arbitraire, consistant à traiter de manière inégale ce qui devrait l'être de manière semblable ou inversement (ATF 129 I 346 consid. 6 p. 357 ; arrêts du Tribunal fédéral 1F_2/2014 du 3 juillet 2014 consid. 1.3.1 et 2C_200/2011 du 14 novembre 2011 consid. 5.1).</w:t>
      </w:r>
    </w:p>
    <w:p>
      <w:r>
        <w:t>b. Les règles générales d’égalité de traitement prohibent non seulement les discriminations ostensibles fondées sur l’origine, le sexe ou tout autre critère sensible (discriminations directes), mais encore toutes les formes dissimulées de discrimination qui, par application d'autres critères de distinction, aboutissent en fait au même résultat (discriminations indirectes ; ATF 140 II 141 consid. 7.1.1 p. 151). Les discriminations indirectes se produisent lorsqu’une règle de droit en apparence neutre affecte de manière disproportionnée un groupe social défini par une caractéristique personnelle. L’art. 8 al. 2 Cst. vise également de telles discriminations. Dans ce domaine, le maintien d’une règle provoquant un impact différent entre groupes sociaux définis par une caractéristique personnelle peut se justifier. Une discrimination indirecte n’est établie qu’en l’absence de justification objective admissible (Pierre MOOR/Alexandre FLÜCKIGER/Vincent MARTENET [éd.], Droit administratif, vol. 1, 2012, p. 868 n. 6.2.5.4).</w:t>
      </w:r>
    </w:p>
    <w:p>
      <w:r>
        <w:t>- 7/9 - A/2583/2013</w:t>
      </w:r>
    </w:p>
    <w:p>
      <w:r>
        <w:t>c. 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p. 215 ; 132 I 153 consid. 3.1 p. 154) ; il prohibe, d'autre part, une surimposition d'un petit groupe de contribuables (interdiction de la discrimination fiscale ; ATF 122 I 305 consid. 6a p. 313 ; arrêt du Tribunal fédéral 2P.152/2005 du 25 octobre 2005 consid. 3.1). Les différents principes de droit fiscal déduits de l'égalité de traitement ont été codifiés à l'art. 127 al. 2 Cst. (ATF 133 I 206 consid. 6.1 p. 215). En vertu de cette disposition, dans la mesure où la nature de l'impôt le permet, les principes de l'universalité, de l'égalité de traitement et de la capacité économique doivent, en particulier, être respectés (ATF 140 II 157 consid. 7.1 p. 160).</w:t>
      </w:r>
    </w:p>
    <w:p>
      <w:r>
        <w:t>d.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(ATA/270/2014 du 15 avril 2014), chaque citoyen doit contribuer à la couverture des dépenses publiques compte tenu de sa situation personnelle et en proportion de ses moyens (ATF 140 II 157 consid. 7.1 p. 160). 7) a. En présence d'impôts spéciaux, les principes de l’art. 127 al. 2 Cst. n'ont par définition qu'une portée restreinte (ATF 128 I 102 consid. 6d p. 112 ; arrêts du Tribunal fédéral 2C_668/2013 du 19 juin 2014 consid. 7.1 et 2C_467/2008 du 10 juillet 2009 consid. 5.4).</w:t>
      </w:r>
    </w:p>
    <w:p>
      <w:r>
        <w:t>b. Les droits de succession constituent un impôt spécial laissé dans la compétence des cantons en vertu de l’art. 3 Cst. À ce titre, les règles jurisprudentielles d’harmonisation fiscale ne leur sont pas applicables de manière impérative (ATF 128 I 102 consid. 6d p. 112 ; arrêt du Tribunal fédéral 2P.157/2006 du 8 mars 2007 consid. 4.4). En outre, ils n’entrent pas dans le champ d’application de la LHID. Lors des débats au Grand Conseil sur l’exonération des personnes liées par le partenariat enregistré, les députés ont relevé que le projet de loi de modification de la LDS n'était pas rendu nécessaire par la LHID, les cantons restant totalement maîtres dans le domaine des droits de succession (MCG 2006-2007/II D/10 791). 8)</w:t>
      </w:r>
    </w:p>
    <w:p>
      <w:r>
        <w:t>En l’espèce, le recourant se plaint de la violation des principes de l’égalité de traitement et de l’interdiction de la discrimination.</w:t>
      </w:r>
    </w:p>
    <w:p>
      <w:r>
        <w:t>- 8/9 - A/2583/2013</w:t>
      </w:r>
    </w:p>
    <w:p>
      <w:r>
        <w:t>Il allègue avoir mené une vie en couple avec le défunt durant plus de vingt ans sans enregistrer leur partenariat. Il demande que son union libre soit considérée comme un concubinage et traitée fiscalement comme celle des couples mariés.</w:t>
      </w:r>
    </w:p>
    <w:p>
      <w:r>
        <w:t>Néanmoins, d’après la jurisprudence précitée, les concubins ne constituent pas une catégorie de contribuables et sont imposés séparément comme les personnes vivant seules sans tenir compte de la communauté de fait qu'ils forment. Le recourant se trouve ainsi dans une situation de fait différente de celle d’une personne mariée ou ayant conclu un partenariat enregistré. Du reste, il reconnaît dans ses écritures que s’il avait officiellement enregistré son partenariat avec le défunt, il aurait été exempté de tout impôt. Il ne peut dès lors dans ces conditions de vie de couple en union libre prétendre à une exonération fiscale sur les droits de succession reconnue aux personnes mariées et aux partenaires enregistrés.</w:t>
      </w:r>
    </w:p>
    <w:p>
      <w:r>
        <w:t>Pour le surplus, l’art. 6A al. 1 LDS se justifie de manière admissible par des motifs objectifs de politique fiscale du canton et d’harmonisation horizontale entre les conjoints, les partenaires enregistrés et les proches parents.</w:t>
      </w:r>
    </w:p>
    <w:p>
      <w:r>
        <w:t>Le grief du recourant doit être dès lors écarté.</w:t>
      </w:r>
    </w:p>
    <w:p>
      <w:r>
        <w:t>Au surplus, le grief du recourant portant sur la violation de son droit au mariage, étroitement lié à ceux de la violation de l’égalité de traitement et de l’interdiction de la discrimination, est aussi infondé, pour des motifs similaires à ceux retenus par la chambre de céans pour écarter les griefs concernant ces derniers principes. 9)</w:t>
      </w:r>
    </w:p>
    <w:p>
      <w:r>
        <w:t>Ce qui précède conduit au rejet du recours. 10) Vu l’issue du litige, un émolument de CHF 1’000.-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