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ATA/87/2025 vom 21. Januar 2025</w:t>
      </w:r>
    </w:p>
    <w:p>
      <w:r>
        <w:t>GE Cour de justice, 2025-01-21, FR</w:t>
      </w:r>
    </w:p>
    <w:p>
      <w:r>
        <w:rPr>
          <w:b/>
        </w:rPr>
        <w:t xml:space="preserve">Quelle: </w:t>
      </w:r>
      <w:r>
        <w:t>https://mcp.opencaselaw.ch/entscheid/ge_gerichte_ATA_87_2025</w:t>
      </w:r>
    </w:p>
    <w:p>
      <w:r>
        <w:t>FR: GE_GERICHTE ATA/87/2025 du 21 janvier 2025</w:t>
      </w:r>
    </w:p>
    <w:p>
      <w:r>
        <w:t>IT: GE_GERICHTE ATA/87/2025 del 21 gennaio 2025</w:t>
      </w:r>
    </w:p>
    <w:p>
      <w:pPr>
        <w:pStyle w:val="Heading2"/>
      </w:pPr>
      <w:r>
        <w:t>Regeste</w:t>
      </w:r>
    </w:p>
    <w:p>
      <w:r>
        <w:t>Résumé: recours contre un jugement du TAPI confirmant une autorisation de construire portant notamment sur la transformation et l'aménagement intérieur de locaux commerciaux. Conformité aux normes AEAI de la voie d'évacuation partant de la cuisine sise au deuxième étage. Rejet du recours.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de la loi sur la procédure administrative du 12 septembre 1985 - LPA - E 5 10). Le TAPI a admis à juste titre la qualité pour recourir de la recourante. Il a correctement analysé cette question aux consid. 3 à 6 de son jugement, de sorte qu’il peut être renvoyé expressément à son raisonnement, que la chambre de céans fera sien, comme l'admet la jurisprudence (arrêt du Tribunal fédéral 1C_642/2022 du 7 novembre 2023 consid. 4.6.2 et les références citées). La qualité pour recourir de l'intéressée n'est d'ailleurs plus contestée. Le recours est donc recevable, si bien qu'il convient d'entrer en matière.</w:t>
      </w:r>
    </w:p>
    <w:p>
      <w:r>
        <w:rPr>
          <w:b/>
        </w:rPr>
        <w:t>E. 2</w:t>
      </w:r>
    </w:p>
    <w:p>
      <w:r>
        <w:t>Le litige porte sur la conformité au droit de l'autorisation de construire délivrée par le département à l'intimée, laquelle a été confirmée par le TAPI.</w:t>
      </w:r>
    </w:p>
    <w:p>
      <w:r>
        <w:rPr>
          <w:b/>
        </w:rPr>
        <w:t>E. 3</w:t>
      </w:r>
    </w:p>
    <w:p>
      <w:r>
        <w:t>La recourante sollicite, d'une part, la mise en œuvre d'une expertise sur la conformité du projet querellé aux normes AEAI et, d'autre part, l'audition de L______, auteur du rapport d'expertise du 4 mai 2024. En outre, elle estime que son droit d’être entendue a été violé par le TAPI qui n’a pas donné suite à sa demande de mise en œuvre de ladite expertise. Vu la connexité desdites requêtes et du grief invoqué, ces derniers seront traités conjointement.</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w:t>
      </w:r>
    </w:p>
    <w:p>
      <w:r>
        <w:t>- 8/19 - A/1316/2023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3.2</w:t>
      </w:r>
    </w:p>
    <w:p>
      <w:r>
        <w:t>Une expertise judiciaire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(ATA/1383/2024 du 26 novembre 2024 consid. 3.2 et l'arrêt cité).</w:t>
      </w:r>
    </w:p>
    <w:p>
      <w:r>
        <w:rPr>
          <w:b/>
        </w:rPr>
        <w:t>E. 3.3</w:t>
      </w:r>
    </w:p>
    <w:p>
      <w:r>
        <w:t>En l'espèce, les parties se sont exprimées de façon circonstanciée sur l'objet du litige et ont produit les pièces auxquelles elles se sont référées dans leurs écritures. Le dossier contient ainsi notamment les plans de l'autorisation sollicitée, en particulier des plans de protection incendie (en couleurs, détaillés, en format original et comportant une légende) pour tous les niveaux du bâtiment concerné, le dernier concept de protection incendie établi par J______ et les différents préavis de la police du feu. Ces documents sont suffisants pour apprécier la question de savoir si le projet litigieux respecte les normes de protection incendie, étant de surcroît relevé que l'appréciation de ces faits ne requiert pas des connaissances ou compétences spécialisées que la chambre de céans ou le département, en particulier la police du feu, ne posséderaient pas, celle-ci étant l'autorité spécialisée en matière de protection contre les incendies (cf. notamment les art. 1 al. 2 et 3 et art. 6 du règlement d’application de la loi sur la prévention des sinistres, l’organisation et l’intervention des sapeurs-pompiers du 25 juillet 1990 [RPSSP - F 4 05.01] ainsi que l'art. 6 al. 2 du règlement d’application de la loi sur les constructions et les installations diverses du 27 février 1978 [RCI - L 5 05.01], étant précisé, compte tenu de la terminologie utilisée dans ces dispositions, que la police du feu fait partie de la direction de l’inspectorat de la construction). Par conséquent, l'expertise sollicitée n'apparaît pas utile et ne sera ainsi pas ordonnée. Les arguments du recourant allant dans le sens de la mise en œuvre de l'expertise n'emportent pas conviction. En premier lieu, l'établissement du concept de protection incendie par un mandataire de l'intimée n'est pas en soi de nature à soulever un problème d'indépendance. En effet, d'une part, une telle manière de faire est logique et inévitable, dans la mesure où ledit concept doit être communiqué dans le cadre de la requête en autorisation de construire. D'autre part, ce concept a ensuite été vérifié par la police du feu, laquelle est l'autorité de protection incendie (art. 60 al. 1 de la norme AEAI) et a donc une approche neutre et objective. La recourante ne peut rien tirer de l'arrêt du Tribunal fédéral 8C_315/2023 qui prévoit que, lorsqu'une décision administrative s'appuie exclusivement sur l'appréciation d'un médecin interne à l'assureur social et que l'avis d'un médecin</w:t>
      </w:r>
    </w:p>
    <w:p>
      <w:r>
        <w:t>- 9/19 - A/1316/2023 traitant ou d'un expert privé auquel on peut également attribuer un caractère probant laisse subsister des doutes quant à la fiabilité et la pertinence de cette appréciation, la jurisprudence impose la mise en œuvre d'une expertise (consid. 6.6). Outre que cette jurisprudence porte sur un tout autre domaine, celui des assurances sociales, ses conditions n'en sont en toute hypothèse pas remplies in casu, puisque l'expert, dont le rapport ne comporte aucune mention du concept établi par J______, n'a a fortiori mis en doute ni la fiabilité ni la pertinence de l'appréciation de ce concept, se limitant à conclure au terme d'une analyse sommaire qu'il ne serait pas possible, en l'état, de supprimer la sortie de secours du niveau cuisine en exploitation. En second lieu, la recourante soutient qu'en présence d'une expertise privée qui met en doute un préavis d'une autorité spécialisée, un refus d'expertise judiciaire ne serait possible que si l'expert privé a été entendu et a pu exposer les problématiques du préavis. Elle fonde cette argumentation sur l'ATA/622/2024 du 21 mai 2024. Or, cet arrêt portait sur une autre problématique, celle de l'installation d'antennes 5G. En outre, contrairement à l'expert mandaté par la recourante, celui ayant été auditionné dans le cadre de la procédure visée par l'arrêt précité avait rendu une expertise privée dans laquelle il contestait explicitement les calculs effectués par l'autorité spécialisée, en l'occurrence le SABRA, et le préavis de ce dernier. Enfin, et en toute hypothèse, on ne saurait inférer de la seule audition d'un expert privé dans une cause en particulier une pratique selon laquelle, en présence d'une expertise privée qui mettrait en doute un préavis d'une autorité spécialisée, un refus d'expertise judiciaire ne serait possible que si l'expert privé a été entendu. L'arrêt ne le dit d'ailleurs pas. L'utilité d'une audition de l'expert privé mandaté par une partie doit au contraire être appréciée de cas en cas en prenant en compte les spécificités liées à chaque espèce.</w:t>
      </w:r>
    </w:p>
    <w:p>
      <w:r>
        <w:rPr>
          <w:b/>
        </w:rPr>
        <w:t>E. 3.4</w:t>
      </w:r>
    </w:p>
    <w:p>
      <w:r>
        <w:t>La recourante a produit le rapport d'expertise du 4 mai 2024 établi par L______. Elle n'explique pas quels éléments supplémentaires utiles à la solution du litige l'expert n'aurait pas pu mettre par écrit et pourquoi, le cas échéant, ces éléments n'auraient pas pu ensuite être produits par la recourante. L'audition de L______ n'apparaît donc pas nécessaire et ne sera par conséquent pas ordonnée, étant pour le surplus rappelé que les pièces en possession de la chambre de céans suffisent pour traiter le litige en toute connaissance de cause.</w:t>
      </w:r>
    </w:p>
    <w:p>
      <w:r>
        <w:rPr>
          <w:b/>
        </w:rPr>
        <w:t>E. 3.5</w:t>
      </w:r>
    </w:p>
    <w:p>
      <w:r>
        <w:t>Enfin, le TAPI a refusé la mise en œuvre d'une expertise judiciaire, au motif que le dossier contenait les éléments suffisants et nécessaires à l’établissement des faits pertinents pour traiter les griefs soulevés par la recourante et statuer sur le litige. Compte tenu de ce qui précède, cette appréciation ne prête pas le flanc à la critique, si bien qu'aucune violation du droit d'être entendu de la recourante ne saurait être reprochée au TAPI. Il ne sera donc pas procédé à d'autres actes d'instruction et le grief tiré de la violation du droit d'être entendu sera écarté.</w:t>
      </w:r>
    </w:p>
    <w:p>
      <w:r>
        <w:rPr>
          <w:b/>
        </w:rPr>
        <w:t>E. 4</w:t>
      </w:r>
    </w:p>
    <w:p>
      <w:r>
        <w:t>La recourante se plaint de la violation des art. 14 et 120 LCI et des normes AEAI.</w:t>
      </w:r>
    </w:p>
    <w:p>
      <w:r>
        <w:t>- 10/19 - A/1316/2023</w:t>
      </w:r>
    </w:p>
    <w:p>
      <w:r>
        <w:rPr>
          <w:b/>
        </w:rPr>
        <w:t>E. 4.1</w:t>
      </w:r>
    </w:p>
    <w:p>
      <w:r>
        <w:t>Selon l'art. 14 al. 1 LCI, le département peut refuser les autorisations prévues à l’art. 1 LCI notamment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 sous réserve du respect du principe de proportionnalité en cas de refus malgré un préavis favorable et de l’intérêt public en cas d’octroi d’une autorisation (ATA/1101/2022 du 1er novembre 2022 consid. 5b et les arrêts cités).</w:t>
      </w:r>
    </w:p>
    <w:p>
      <w:r>
        <w:rPr>
          <w:b/>
        </w:rPr>
        <w:t>E. 4.2</w:t>
      </w:r>
    </w:p>
    <w:p>
      <w:r>
        <w:t>L’art. 120 LCI prévoit que les dispositions relatives à la sécurité des constructions et installations sont applicables à toutes les constructions, quelle que soit la date de leur établissement. Selon l’art. 121 LCI, une construction, une installation et, d’une manière générale, toute chose doit remplir en tout temps les conditions de sécurité et de salubrité exigées par la LCI, son règlement d’application ou les autorisations délivrées en application de ces dispositions légales et réglementaires (al. 1). Les exigences imposées pour les constructions et les installations en matière de prévention des incendies sont régies par la norme de protection incendie et les directives l'AEAI (al. 2). L’al. 3 let. a précise qu’une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(ch. 1) ni être la cause d’inconvénients graves (ch. 2).</w:t>
      </w:r>
    </w:p>
    <w:p>
      <w:r>
        <w:rPr>
          <w:b/>
        </w:rPr>
        <w:t>E. 4.3</w:t>
      </w:r>
    </w:p>
    <w:p>
      <w:r>
        <w:t>Les propriétaires sont responsables, dans l’application de la loi et sous réserve des droits civils, de la sécurité et de la salubrité des constructions et installations (art. 122 LCI).</w:t>
      </w:r>
    </w:p>
    <w:p>
      <w:r>
        <w:rPr>
          <w:b/>
        </w:rPr>
        <w:t>E. 4.4</w:t>
      </w:r>
    </w:p>
    <w:p>
      <w:r>
        <w:t>Selon la jurisprudence, les prescriptions AEAI sont directement applicables à titre de droit intercantonal et l'emportent sur le droit cantonal qui leur serait contraire (arrêt du Tribunal fédéral 1C_666/2021 du 28 juillet 2022 consid. 2.1.1 et les arrêts cités).</w:t>
      </w:r>
    </w:p>
    <w:p>
      <w:r>
        <w:rPr>
          <w:b/>
        </w:rPr>
        <w:t>E. 4.5</w:t>
      </w:r>
    </w:p>
    <w:p>
      <w:r>
        <w:t>Selon l'art. 4 de la norme AEAI (disponible à l'adresse Internet https://services.vkg.ch/rest/public/georg/bs/publikation/documents/BSPUB-13945 20214-55.pdf/content, page consultée le 23 décembre 2024), les prescriptions de protection incendie se composent de la norme de protection incendie (al. 1 let. a) et</w:t>
      </w:r>
    </w:p>
    <w:p>
      <w:r>
        <w:t>- 11/19 - A/1316/2023 des directives de protection incendie (al. 1 let. b). L’AEAI publie aussi des « notes explicatives », où sont explicitées certaines questions de protection incendie, ainsi que des « aides de travail » visant à faciliter l’application des directives de protection incendie (art. 4). La norme de protection incendie fixe le cadre de la protection incendie sur le plan des devoirs généraux, de la construction, des équipements de protection incendie et de l’organisation, ainsi que les mesures de défense incendie qui s’y rapportent. Elle définit les standards de sécurité applicables (art. 5 de la norme AEAI). La norme de protection incendie est complétée par les directives de protection incendie, qui fixent les exigences et les mesures détaillées de sa mise en œuvre (art. 6 de la norme AEAI).</w:t>
      </w:r>
    </w:p>
    <w:p>
      <w:r>
        <w:rPr>
          <w:b/>
        </w:rPr>
        <w:t>E. 4.5.1</w:t>
      </w:r>
    </w:p>
    <w:p>
      <w:r>
        <w:t>Selon l’art. 2 de la norme AEAI, les prescriptions de protection incendie s’appliquent aux bâtiments et aux autres ouvrages à construire ainsi que, par analogie, aux constructions mobilières (al. 1). Les bâtiments et les autres ouvrages existants seront rendus conformes aux prescriptions de protection incendie, suivant un principe de proportionnalité, en cas de transformation, d’agrandissement ou de changement d’affectation importants de la construction ou de l’exploitation (al. 2 let. a) et lorsque le danger est particulièrement important pour les personnes (al. 2 let. b).</w:t>
      </w:r>
    </w:p>
    <w:p>
      <w:r>
        <w:rPr>
          <w:b/>
        </w:rPr>
        <w:t>E. 4.5.2</w:t>
      </w:r>
    </w:p>
    <w:p>
      <w:r>
        <w:t>L’art. 3 al. 1 norme AEAI prévoit que la prévention incendie doit en particulier être assurée par des mesures organisationnelles, telles que le dégagement des voies d’évacuation et de sauvetage (let. a) et l’ordre irréprochable sur le plan de la technique de protection incendie (let. b). Les propriétaires et les exploitants des bâtiments et des autres ouvrages doivent prendre les mesures nécessaires, sur les plans de l’organisation et du personnel, pour assurer la sécurité incendie (al. 2).</w:t>
      </w:r>
    </w:p>
    <w:p>
      <w:r>
        <w:rPr>
          <w:b/>
        </w:rPr>
        <w:t>E. 4.5.3</w:t>
      </w:r>
    </w:p>
    <w:p>
      <w:r>
        <w:t>Les art. 35 à 37 de la norme AEAI traitent des voies d’évacuation. Selon l’art. 35, est considéré comme voie d’évacuation le chemin le plus court qui peut être emprunté, depuis n’importe quel endroit du bâtiment ou de l’ouvrage, pour rejoindre un lieu sûr à l’air libre ou dans le bâtiment (al. 1). Est considéré comme voie de sauvetage le chemin le plus court vers n’importe quel endroit des bâtiments ou des ouvrages où les sapeurs-pompiers et les équipes de sauvetage doivent intervenir. Les voies d’évacuation peuvent servir de voie de sauvetage (al. 2). Si les voies d’évacuation et de sauvetage horizontales et verticales ne sont pas séparées par une fermeture coupe-feu, les voies d’évacuation et de sauvetage horizontales sont soumises aux mêmes exigences que les voies d’évacuation et de sauvetage verticales (al. 3). L’art. 36 dispose que les voies d’évacuation et de sauvetage doivent être disposées, dimensionnées et réalisées de manière à ce qu’elles puissent toujours être empruntées rapidement et en toute sécurité. Sont notamment déterminants : a. l’affectation et la situation des bâtiments et des autres ouvrages ou des compartiments coupe-feu ; b. la géométrie des bâtiments ; c. le nombre d’occupants</w:t>
      </w:r>
    </w:p>
    <w:p>
      <w:r>
        <w:t>- 12/19 - A/1316/2023 (al. 1). Dans le cadre de questions particulières liées aux exigences des voies d’évacuation, il est possible, en accord avec l’autorité de protection incendie, pour des zones spécifiques d’un bâtiment ou d’un autre ouvrage de recourir à des méthodes de calcul (al. 2). Les voies d’évacuation et de sauvetage peuvent servir de voies de communication. Elles doivent toujours rester dégagées et utilisables en toute sécurité. À l’extérieur de l’unité d’utilisation, elles ne doivent pas servir à d’autres usages (art. 37 al. 1 de la norme AEAI).</w:t>
      </w:r>
    </w:p>
    <w:p>
      <w:r>
        <w:rPr>
          <w:b/>
        </w:rPr>
        <w:t>E. 4.6</w:t>
      </w:r>
    </w:p>
    <w:p>
      <w:r>
        <w:t>La directive AEAI « Voies d’évacuation et de sauvetage » 16-15 du 1er janvier 2017, état au 1er août 2021, (ci-après : la directive AEAI ; disponible à l'adresse Internet suivante : https://services.vkg.ch/rest/public/georg/bs/publikation/docu ments/BSPUB-1394520214-83.pdf/content, page consultée le 23 décembre 2024) définit les exigences auxquelles doivent répondre ces dernières sur le plan de leur disposition, de leur dimensionnement, de leur exécution, de leur équipement et leur non-obstruction (ch. 1).</w:t>
      </w:r>
    </w:p>
    <w:p>
      <w:r>
        <w:rPr>
          <w:b/>
        </w:rPr>
        <w:t>E. 4.6.1</w:t>
      </w:r>
    </w:p>
    <w:p>
      <w:r>
        <w:t>Les exigences générales sont posées par le ch. 2 de la directive AEAI. Selon son ch. 2.4.1, le nombre d'issues et de voies d'évacuation verticales (escaliers, par exemple) des bâtiments et des autres ouvrages dépend de la surface des niveaux, de la longueur des voies d'évacuation ainsi que du nombre d'occupants (al. 1). Les voies d'évacuation verticales doivent mener à un lieu sûr à l'air libre (al. 2). Pour une surface de plancher jusqu'à 900 m2, les niveaux des bâtiments et autres ouvrages dont les voies d'évacuation menant de plain-pied à l'air libre ne sont pas suffisantes doivent être desservis par au moins une voie d'évacuation verticale (ch. 2.4.2 al. 1 let. a). Les locaux recevant plus de 100 personnes doivent être desservis par deux voies d'évacuation verticales au minimum si les voies d'évacuation menant de plain-pied à l'air libre ne sont pas suffisantes pour les personnes (ch. 2.4.2 al. 2) La longueur totale des voies d’évacuation est limitée à 35 m lorsqu’elles aboutissent à une seule voie d’évacuation verticale ou une seule issue donnant sur un lieu sûr à l’air libre (ch. 2.4.3 al. 1). Aux termes du ch. 2.4.6, en fonction du nombre d'occupants, les locaux doivent avoir au moins les issues suivantes : - jusqu'à 50 personnes : une issue de 0.9 m (let. a) ; - jusqu'à 200 personnes au maximum : trois issues de 0.9 m chacune ou deux issues de 0.9 m et de 1.2 m (let. c).</w:t>
      </w:r>
    </w:p>
    <w:p>
      <w:r>
        <w:rPr>
          <w:b/>
        </w:rPr>
        <w:t>E. 4.6.2</w:t>
      </w:r>
    </w:p>
    <w:p>
      <w:r>
        <w:t>Le ch. 3 de la directive AEAI fixe des exigences spécifiques concernant des types de bâtiments particuliers. Son ch. 3 est applicable aux bâtiments administratifs, industriels et artisanaux.</w:t>
      </w:r>
    </w:p>
    <w:p>
      <w:r>
        <w:t>- 13/19 - A/1316/2023 Pour ces derniers, il est admis que l'évacuation se fasse par un local voisin (zone polyvalente, par exemple), pour autant qu'il se trouve dans la même unité d'utilisation et permette de rejoindre une voie d'évacuation horizontale ou verticale (ch. 3.3.4). Un schéma de cette situation figure en page 23 de la directive.</w:t>
      </w:r>
    </w:p>
    <w:p>
      <w:r>
        <w:rPr>
          <w:b/>
        </w:rPr>
        <w:t>E. 4.7</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(ATA/1376/2024 du 26 novembre 2024 consid. 4.11 et les références citées).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ATA/1376/2024 précité consid. 4.11 et l'arrêt cité).</w:t>
      </w:r>
    </w:p>
    <w:p>
      <w:r>
        <w:rPr>
          <w:b/>
        </w:rPr>
        <w:t>E. 4.8</w:t>
      </w:r>
    </w:p>
    <w:p>
      <w:r>
        <w:t>En l'espèce, le bâtiment litigieux est affecté aux activités commerciales et sa capacité sera limitée à 300 personnes sur l’ensemble du commerce. Par conséquent, ce sont les règles relatives aux bâtiments administratifs, industriels et artisanaux (ch. 3.3 ss de la directive AEAI qui lui sont applicables), – et non celles portant sur les grands magasins et locaux recevant un grand nombre de personnes –, en sus des règles générales (ch. 2 ss). Le concept de protection incendie établi par J______ le 7 mai 2021, mis à jour, a été avalisé par la police du feu et fait partie intégrante de l'autorisation délivrée à la recourante. Il prévoit, comme l'attestent les plans fournis, en particulier le plan de protection incendie des niveaux 1 et 2 n° 002, pour le niveau 1, une voie d'évacuation verticale (avec une sortie de secours) au centre de l'étage, une voie d'évacuation verticale accessible depuis le restaurant (avec une sortie de secours) et menant au passage E______, ainsi qu'une autre sortie de secours dans le restaurant, côté passage F______. Pour le niveau 2, il prévoit une voie d'évacuation verticale (avec plusieurs sorties de secours) au centre de l'étage et une sortie de secours, dans le restaurant, débouchant sur un escalier menant au premier étage dudit restaurant. L’évacuation de la cuisine du deuxième étage se fait en transitant par le premier étage du restaurant puis en empruntant une nouvelle voie de fuite verticale pour aboutir dans le passage E______. Enfin, la longueur de la voie d'évacuation depuis la cuisine est de 35 m et la largeur des voies d'évacuation de 1.2 m.</w:t>
      </w:r>
    </w:p>
    <w:p>
      <w:r>
        <w:t>- 14/19 - A/1316/2023 Dès lors, les exigences posées par la directive AEAI sont respectées. En effet, la voie d'évacuation depuis la cuisine est conforme au ch. 3.3.4, dans la mesure où l'évacuation se fera par un local voisin, en l'occurrence le premier étage du restaurant, se trouvant dans la même unité d'utilisation, puisque reliés par un escalier intérieur, et permettant de rejoindre la voie d'évacuation verticale attenante au restaurant et menant au passage E______. Ainsi, comme l'a retenu à juste titre le TAPI, la voie d’évacuation depuis la cuisine apparait adéquate dès lors qu'en cas de sinistre, l’évacuation des employés de cuisine, au nombre de cinq environ même s’ils peuvent être parfois plus nombreux sur les lieux, pourra se faire par l’escalier de liaison situé dans la même unité de liaison afin d’atteindre la voie d’évacuation prévue au premier étage menant directement vers l’extérieur. Contrairement à ce que prétend la recourante, se référant au rapport d'expertise qu'elle a produit, la « suppression » de la sortie de secours actuelle du « niveau cuisine » sur le même étage n'a aucune importance puisqu'elle est remplacée par une voie d'évacuation conforme au ch. 3.3.4. En outre, le nombre de voies d'évacuation requises pour chaque étage est respecté (ch. 2.4.2 al. 2), puisque le deuxième étage est desservi par une voie d'évacuation verticale en sus de la voie d'évacuation que devront emprunter les occupants de la cuisine et que le premier étage est desservi par deux voies d'évacuation verticales. Il ressort également des plans qu'aucune voie d’évacuation ne dépasse 35 m (ch. 2.4.3 al. 1). Par ailleurs, conformément au ch. 2.4.6 let. a, la cuisine, qui accueillera moins de 50 personnes, dispose d'une issue de secours de 1.2 m (supérieure à 0.9). Le restaurant dispose de deux issues de secours de 1.2 m, si bien que le ch. 2.4.6 let. c est respecté. L'intimée a également déposé la déclaration de conformité AEAI pour le concept de sécurité incendie avec une seule remarque concernant la porte coupe-feu du local technique présent au palier intermédiaire qui était provisoire dans l’attente de la livraison de la porte définitive. Enfin, contrairement à ce que prétend la recourante, le ch. 2.5.1, qui prévoit que les escaliers et les paliers des voies d'évacuation verticales doivent être exécutés de manière à être praticables en toute sécurité (al. 1) et que les voies d'évacuation verticales ne doivent pas être décalées d'un niveau à l'autre (al. 2), ne s'oppose pas à ce que la voie d'évacuation ne soit pas située sur le même étage pour les bâtiments administratifs, industriels et artisanaux, compte tenu de la possibilité offerte par le ch. 3.3.4 de créer une évacuation par un local voisin. Pour le surplus, l'expert privé mandaté par la recourante n'a mis en doute ni la fiabilité ni la pertinence de l'appréciation du concept établi par J______, – qu'il n'a au demeurant même pas analysé – et n'a pas fait mention du non-respect du ch. 2.5.1.</w:t>
      </w:r>
    </w:p>
    <w:p>
      <w:r>
        <w:t>- 15/19 - A/1316/2023 Par conséquent, il n'y a pas lieu de s'écarter du préavis positif de la police du feu, qui a avalisé ledit concept, et dont les conditions, en particulier le respect de celui-ci, font partie intégrante de l'autorisation délivrée. On ne saurait dès lors retenir que celle-ci pourrait être la cause d’inconvénients graves pour les usagers, ne remplirait pas les conditions de sécurité et de salubrité qu’exige son exploitation ou son utilisation ou présenterait des dangers particuliers. Le grief sera donc écarté.</w:t>
      </w:r>
    </w:p>
    <w:p>
      <w:r>
        <w:rPr>
          <w:b/>
        </w:rPr>
        <w:t>E. 5</w:t>
      </w:r>
    </w:p>
    <w:p>
      <w:r>
        <w:t>La recourante fait valoir trois griefs, qui seront exposés séparément ci-après (consid. 6, 7 et 8), que l'intimée estime irrecevables, dans la mesure où l'intéressée ne les a pas soulevés devant le TAPI. Il convient dès lors d'examiner la recevabilité de ces griefs.</w:t>
      </w:r>
    </w:p>
    <w:p>
      <w:r>
        <w:rPr>
          <w:b/>
        </w:rPr>
        <w:t>E. 5.1</w:t>
      </w:r>
    </w:p>
    <w:p>
      <w:r>
        <w:t>Sauf exception prévue par la loi, le recourant peut invoquer des motifs, des faits et des moyens de preuves nouveaux qui ne l’ont pas été dans les précédentes procédures (art. 68 LPA). La juridiction administrative chargée de statuer est liée par les conclusions des parties. Elle n’est en revanche pas liée par les motifs que les parties invoquent (art. 69 al. 1 LPA).</w:t>
      </w:r>
    </w:p>
    <w:p>
      <w:r>
        <w:rPr>
          <w:b/>
        </w:rPr>
        <w:t>E. 5.2</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(ATA/1461/2024 du 12 décembre 2024 consid. 4.4.1).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(ATA/688/2024 du</w:t>
      </w:r>
    </w:p>
    <w:p>
      <w:r>
        <w:rPr>
          <w:b/>
        </w:rPr>
        <w:t>E. 5.3</w:t>
      </w:r>
    </w:p>
    <w:p>
      <w:r>
        <w:t>En l'espèce, la recourante n'a pas fait valoir les trois griefs en cause devant le TAPI. Cependant, en invoquant ces griefs – pour la première fois – devant la chambre de céans, elle ne formule pas de nouvelles prétentions qui n'auraient pas été examinées par le TAPI, ni ne modifie ses conclusions prises devant celui-ci ou étend l'objet du litige, puisque la recourante ne demande pas autre chose que l'annulation de la décision attaquée, ce qu'elle sollicite depuis le début de la procédure. En outre, la chambre de céans applique le droit d'office (art. 69 al. 1</w:t>
      </w:r>
    </w:p>
    <w:p>
      <w:r>
        <w:t>- 16/19 - A/1316/2023 LPA ; ATA/1493/2024 du 18 décembre 2024 consid. 3). Par conséquent, il convient d'entrer en matière sur les trois griefs concernés, malgré leur invocation tardive. 6. La recourante soutient que la décision querellée consacrerait une violation des conditions de la reconsidération d'une décision entrée en force. 6.1 La voie de la reconsidération est ouverte pour remettre en cause une décision d’une autorité administrative entrée en force qui n’a fait l’objet d’aucun recours (art. 48 LPA ; ATA/375/2010 du 1er juin 2010 consid. 4 et les arrêts cités).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ATA/1441/2024 du 10 décembre 2024 consid. 2.1 et l'arrêt cité). 6.2 En l'espèce, la décision querellée DD 3______/3 et l'APA 4______/2 constituent deux projets de construction indépendants l'un de l'autre, si bien que, pour ce motif déjà, la DD 3______/3 ne peut être la reconsidération de l'APA 4______/2 au sens de l'art. 48 LPA. Par surabondance, la DD 3______/3 ne porte pas sur le même objet que l'APA 4______/2. En effet, alors que la DD 3______/3 porte sur la démolition de la marquise existante, la réfection des façades, la transformation et l'aménagement intérieur du bâtiment, la modification d'installations techniques, l'installation productrice de chaleur alimentée en combustibles fossiles et l'installation de climatisation de confort, l'APA 5______ concernait l'aménagement du restaurant, l'installation de canaux de ventilation en façade, la suppression d'un ascenseur, la transformation d'une fenêtre en porte fenêtre et l'aménagement en sous-sol. En outre, les deux décisions précitées ne concernent pas les mêmes parties, la DD 3______/3 ayant été requise par l'intimée tandis que l'APA 4______/2 l'a été par la recourante. Par conséquent, faute d'identité d'objet et de parties entre les deux décisions précitées, la décision querellée ne saurait, pour ce motif également, être considérée comme la reconsidération de l'APA 4______/2. Dans ces conditions, la question de savoir si les conditions permettant la reconsidération sont réalisées est sans pertinence et pourra donc rester indécise. Mal fondé, le grief sera écarté.</w:t>
      </w:r>
    </w:p>
    <w:p>
      <w:r>
        <w:t>7. La recourante fait valoir une violation du principe de la bonne foi.</w:t>
      </w:r>
    </w:p>
    <w:p>
      <w:r>
        <w:t>- 17/19 - A/1316/2023 7.1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7.2 Le principe de la bonne foi protège également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sous certaines conditions, celle-ci à consentir à un administré un avantage contraire à la réglementation en vigueur (ATF 146 I 105 consid. 5.1.1 ; ATA/691/2024 du 10 juin 2024 consid. 2.6). 7.3 En l'espèce, la recourante fonde son argumentation sur le fait que le département lui aurait imposé la construction d'une sortie de secours par étage dans le cadre de l'APA 4______/2 et aurait décidé le contraire six ans plus tard. Or, une telle condition ne ressort pas des échanges intervenus lors de l'instruction de la requête. Le fait que la police du feu ait ensuite imposé le respect des mesures définies dans le concept de sécurité incendie I______ du 14 juin 2016 (qui prévoyait que le deuxième étage était desservi par une issue donnant sur une voie d'évacuation horizontale permettant de rejoindre l'escalier du bâtiment) ne signifie pas qu'aucune autre option conforme à la loi n'était envisageable, notamment celle prévue par le ch. 3.3.4 de la directive AEAI. La police du feu n'a fait que valider la proposition soumise par la recourante, conforme à la norme AEAI, et elle n'avait d'autre choix que d'en imposer son respect. Par ailleurs, en prétendant que le département lui aurait imposé ladite condition alors que la proposition venait d'elle, la recourante adopte un comportement contradictoire qui ne saurait être protégé. Le département n'a donc adopté aucun comportement contradictoire en autorisant que l’évacuation depuis la cuisine (deuxième étage) se fasse par un local voisin se trouvant dans la même unité d’utilisation et permettant de rejoindre une voie d’évacuation verticale, comme le permet le ch. 3.3.4 de la directive AEAI. Pour le surplus, au vu de ce qui précède, aucune assurance ni renseignement erroné n'a été donné à la recourante par le département. Aucune violation du principe de la bonne foi ne peut dès lors être relevée, si bien que le grief sera écarté. 8. Dans un dernier grief, la recourante se plaint d'une violation de sa liberté économique.</w:t>
      </w:r>
    </w:p>
    <w:p>
      <w:r>
        <w:t>- 18/19 - A/1316/2023 8.1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La fermeture définitive d'un établissement constitue une atteinte grave à la liberté économique (ATA/480/2011 du 26 juillet 2011 consid. 4c). 8.2 En l'espèce, la décision querellée a pour unique objet la délivrance de l'autorisation d'aménager les locaux, si bien qu'elle ne constitue a contrario pas un ordre de cessation d'activité ou de fermeture des locaux. La décision querellée ne porte donc aucune atteinte à la liberté économique de la recourante. Pour le surplus, il a été vu que ladite décision était conforme au droit. Par conséquent, le risque qu'elle entraîne la fermeture de l'établissement une fois qu'elle sera mise en œuvre conformément aux conditions de l'autorisation est fort improbable, voire inexistant. Par conséquent, le grief sera écarté. En tous points mal fondé, le recours sera rejeté. 9. Vu l'issue du litige, un émolument de CHF 2'500.- sera mis à la charge de la recourante, qui succombe (art. 87 al. 1 LPA), et une indemnité de procédure d'un même montant sera allouée à B______, à la charge de la recourante (art. 87 al. 2 LPA).</w:t>
      </w:r>
    </w:p>
    <w:p>
      <w:r>
        <w:t>* * * * *</w:t>
      </w:r>
    </w:p>
    <w:p>
      <w:r>
        <w:rPr>
          <w:b/>
        </w:rPr>
        <w:t>E. 10</w:t>
      </w:r>
    </w:p>
    <w:p>
      <w:r>
        <w:t>juin 2024 consid. 2.3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