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ATA/87/2017 vom 3. Februar 2017</w:t>
      </w:r>
    </w:p>
    <w:p>
      <w:r>
        <w:t>GE Cour de justice, 2017-02-03, FR</w:t>
      </w:r>
    </w:p>
    <w:p>
      <w:r>
        <w:rPr>
          <w:b/>
        </w:rPr>
        <w:t xml:space="preserve">Quelle: </w:t>
      </w:r>
      <w:r>
        <w:t>https://mcp.opencaselaw.ch/entscheid/ge_gerichte_ATA_87_2017</w:t>
      </w:r>
    </w:p>
    <w:p>
      <w:r>
        <w:t>FR: GE_GERICHTE ATA/87/2017 du 3 février 2017</w:t>
      </w:r>
    </w:p>
    <w:p>
      <w:r>
        <w:t>IT: GE_GERICHTE ATA/87/2017 del 3 febbraio 2017</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 art. 104 du statut du personnel de la Ville de Genève du 29 juin 2010 - SPVG - LC 21 151).</w:t>
      </w:r>
    </w:p>
    <w:p>
      <w:r>
        <w:rPr>
          <w:b/>
        </w:rPr>
        <w:t>E. 2</w:t>
      </w:r>
    </w:p>
    <w:p>
      <w:r>
        <w:t>La recourante se prévaut d’une violation de son droit d’être entendue, l’autorité intimée n’ayant pas motivé sa décision et ne s’étant pas prononcée sur le grief de la prescription, pourtant soulevé dans ses observations du 24 août 2015.</w:t>
      </w:r>
    </w:p>
    <w:p>
      <w:r>
        <w:t>- 24/33 - A/3675/2015</w:t>
      </w:r>
    </w:p>
    <w:p>
      <w:r>
        <w:t>a. L’autorité qui ne traite pas un grief relevant de sa compétence, motivé de façon suffisante et pertinente pour l’issue du litige, commet un déni de justice formel proscrit par l’art. 29 al. 1 de la Constitution fédérale de la Confédération suisse du 18 avril 1999 (Cst. - RS 101 ; ATF 136 I 6 consid. 2.1 ; 117 Ia 116 consid. 3a). De même, la jurisprudence a déduit du droit d’être entendu de l’art. 29 al. 2 Cst. l’obligation pour l’autorité de motiver sa décision, afin que l’intéressé puisse se rendre compte de la portée de celle-ci et l’attaquer en connaissance de cause (ATF 142 I 135 consid. 2.1 ; 138 I 232 consid. 5.1 ; 136 V 351 consid. 4.2). La motivation d’une décision est suffisante lorsque l’autorité mentionne, au moins brièvement, les motifs qui l’ont guidée et sur lesquels elle a fondé son raisonnement. L’autorité ne doit toutefois pas se prononcer sur tous les moyens des parties et peut se limiter aux questions décisives (ATF 142 II 154 consid. 4.2 ; 141 III 28 consid. 3.2.4 ; 137 II 266 consid. 3.2 ; 136 I 229 consid. 5.2). La motivation peut, pour le reste, être implicite et résulter des différents considérants de la décision (arrêts du Tribunal fédéral 1C_577/2015 du 13 octobre 2016 consid. 2.1 ; 1C_167/2015 18 août 2015 consid. 3).</w:t>
      </w:r>
    </w:p>
    <w:p>
      <w:r>
        <w:t>b. En l’espèce, si la décision entreprise ne mentionne certes pas expressément les faits retenus à l’encontre de la recourante, il n’en demeure pas moins qu’elle fait siennes les constatations figurant dans le rapport d’enquête du 26 juin 2015, y renvoyant. La recourante a eu connaissance de ce rapport, qui lui a été remis, et a été en mesure de se déterminer à son propos, ce qu’elle a fait dans ses observations du 24 août 2015. Elle n’ignorait ainsi pas les faits qui lui étaient reprochés et qui ont conduit au prononcé d’un avertissement à son encontre. Preuve en est qu’elle a recouru contre la décision litigieuse devant la chambre de céans, produisant des écritures circonstanciées. Par ailleurs, le fait que la décision entreprise ne se prononce pas explicitement sur la question de la prescription, que la recourante a soulevé dans ses écritures susmentionnées, ne saurait pour autant conduire à une violation de l’exigence de motivation, dès lors que le SPVG ne soumet l’action disciplinaire à aucune contrainte temporelle. L’autorité intimée pouvait ainsi considérer que cette problématique n’était pas pertinente, sans se prononcer explicitement sur celle-ci, ce d’autant au regard de l’argumentation de la recourante, laquelle s’est limitée à citer un avis de doctrine portant sur la prescription des créances de droit public, sujet sans lien avec la présente cause. Il s’ensuit que le grief tiré de la violation du droit d’être entendu sera écarté.</w:t>
      </w:r>
    </w:p>
    <w:p>
      <w:r>
        <w:rPr>
          <w:b/>
        </w:rPr>
        <w:t>E. 3</w:t>
      </w:r>
    </w:p>
    <w:p>
      <w:r>
        <w:t>a. Selon l’art. 61 al. 1 LPA, le recours peut être formé pour violation du droit, y compris l’excès et l’abus du pouvoir d’appréciation (let. a) ainsi que pour constatation inexacte ou incomplète des faits pertinents (let. b). Les juridictions administratives n’ont pas compétence pour apprécier l’opportunité de la décision attaquée, sauf exception prévue par la loi (art. 61 al. 2 LPA), condition non réalisée en l’espèce.</w:t>
      </w:r>
    </w:p>
    <w:p>
      <w:r>
        <w:t>- 25/33 - A/3675/2015</w:t>
      </w:r>
    </w:p>
    <w:p>
      <w:r>
        <w:t>En matière de sanctions disciplinaires, l’autorité dispose d’un large pouvoir d’appréciation, de sorte que le pouvoir d’examen de la chambre de céans se limite à l’excès ou à l’abus du pouvoir d’appréciation (ATA/987/2016 du 22 novembre 2016 ; ATA/1255/2015 du 24 novembre 2015 ; ATA/748/2014 du 23 septembre 2014).</w:t>
      </w:r>
    </w:p>
    <w:p>
      <w:r>
        <w:t>b. La procédure administrative est régie par la maxime inquisitoire, selon laquelle le juge établit les faits d’office (art. 19 LPA). Ce principe n’est pas absolu, sa portée étant restreinte par le devoir des parties de collaborer à la constatation des faits (art. 22 LPA).</w:t>
      </w:r>
    </w:p>
    <w:p>
      <w:r>
        <w:t>La constatation des faits, en procédure administrative, tant fédérale que cantonale, est gouvernée par le principe de la libre appréciation des preuves (art. 20 al. 1, 2ème phr., LPA ; ATF 139 II 185 consid. 9.2 ; 130 II 482 consid. 3.2 ; arrêts du Tribunal fédéral 2C_668/2011 du 12 avril 2011 consid. 3.3 ; ATA/716/2013 du 29 octobre 2013 ; ATA/538/2013 du 27 août 2013). Selon ce dernier, le juge forme librement sa conviction en analysant la force probante des preuves administrées : ce n’est ainsi ni le genre ni le nombre des preuves qui est déterminant, mais leur force de persuasion (ATA/573/2015 du 2 juin 2015 ; ATA/716/2013 précité).</w:t>
      </w:r>
    </w:p>
    <w:p>
      <w:r>
        <w:rPr>
          <w:b/>
        </w:rPr>
        <w:t>E. 4</w:t>
      </w:r>
    </w:p>
    <w:p>
      <w:r>
        <w:t>La recourante conteste avoir contrevenu aux devoirs du personnel.</w:t>
      </w:r>
    </w:p>
    <w:p>
      <w:r>
        <w:t>a. Le SPVG et le règlement d’application du statut du personnel de la Ville de Genève du 14 octobre 2009 (REGAP - LC 21 152.0) régissent les rapports de service entre la ville et son personnel (art. 1 SPVG ; art. 1 al. 1 REGAP).</w:t>
      </w:r>
    </w:p>
    <w:p>
      <w:r>
        <w:t>Selon l’art. 3 SPVG, les rapports de service des membres du personnel sont régis par les dispositions du SPVG, celles d’exécution ainsi que, le cas échéant, les clauses du contrat de travail (al. 1). En cas de lacune, les dispositions pertinentes du droit des obligations sont applicables à titre de droit supplétif (al. 2).</w:t>
      </w:r>
    </w:p>
    <w:p>
      <w:r>
        <w:t>b. Le chapitre VI du SPVG énonce les devoirs du personnel. Ses membres sont ainsi tenus au respect des intérêts de la ville et doivent s’abstenir de tout ce qui peut lui porter préjudice (art. 82 SPVG).</w:t>
      </w:r>
    </w:p>
    <w:p>
      <w:r>
        <w:t>Selon l’art. 83 SPVG, ils doivent, par leur attitude, entretenir des relations dignes et respectueuses avec leurs collègues, leurs supérieurs et leurs subordonnés et faciliter la collaboration entre ces personnes (let. a), établir des contacts empreints de compréhension et de tact avec le public (let. b) et justifier et renforcer la considération et la confiance dont le personnel de la ville doit être l’objet (let. c). Aux termes de l’art. 84 SPVG, ils doivent notamment remplir leurs devoirs de fonction consciencieusement et avec diligence (let. a), respecter leur horaire de travail (let. b), assumer personnellement leur travail et s’abstenir de</w:t>
      </w:r>
    </w:p>
    <w:p>
      <w:r>
        <w:t>- 26/33 - A/3675/2015 toute occupation étrangère au service pendant les heures de travail (let. c), s’entraider et se suppléer, notamment en cas de maladie ou de congés (let. d), veiller à mettre à jour leurs connaissances professionnelles dans toute la mesure nécessaire à l’exécution de leur travail (let. e), se conformer aux règlements et directives les concernant (let. f) ainsi qu’aux instructions de leurs supérieurs et en exécuter les ordres avec conscience et discernement (let. g). Par ailleurs, les fonctions de cadre supérieur exigent de leurs titulaires, outre la préoccupation constante des intérêts de la ville et l’accomplissement des devoirs généraux liés à l’exercice de la fonction publique, le maintien d’un haut niveau de qualification et un sens élevé de la mission confiée (art. 99 al. 1 REGAP).</w:t>
      </w:r>
    </w:p>
    <w:p>
      <w:r>
        <w:t>Le CA fixe l’horaire de travail en fonction des nécessités des différents services et peut déléguer cette compétence au conseiller administratif dont dépendent les services ; il fixe également dans un règlement les principes applicables à l’aménagement de l’horaire de travail au sein de l’administration municipale (art. 91 al. 1 et 6 SPVG). Le règlement sur l’aménagement du temps de travail du 13 juin 2012 (RATT - LC 21 152.20), entré en vigueur le 1er juillet 2012, définit les dispositions relatives à l’aménagement du temps de travail de l’ensemble des membres du personnel de l’administration municipale (art. 1 al. 1 RATT). La ville applique en principe l’horaire variable (art. 8 al. 1 let. a et 3 RATT), soit l’horaire de travail des membres du personnel qui effectuent quarante heures de travail hebdomadaire pour un plein temps, mais qui disposent d’une certaine flexibilité (horaire cadre) en dehors des plages horaires de présence obligatoire (horaire bloqué ; art. 9 al. 1 RATT). En l’absence de dispositions spécifique du service, l’horaire bloqué est défini de 9h00 à 11h30 et de 14h00 à 16h30 (art. 11 al. 5 RATT). Selon la directive de service relative à l’horaire variable 2 du SCM (SCMvar2), entrée en vigueur le 1er mai 2014 et applicable notamment au chef de service, l’horaire bloqué est déterminé pour l’horaire variable 2 du lundi au vendredi de 9h00 à 11h30 et de 14h00 à 16h30 ; il n’est toutefois pas applicable les lendemains de séance du CM, les temps de repos prescrits par le RATT étant alors applicables (art. 3.1 SCMvar2).</w:t>
      </w:r>
    </w:p>
    <w:p>
      <w:r>
        <w:t>c. Selon l’art. 93 al. 1 SPVG, les membres du personnel qui violent leurs devoirs de service intentionnellement ou par négligence peuvent se voir infliger un avertissement ou un blâme ou la suppression de l’augmentation annuelle de traitement pour l’année à venir.</w:t>
      </w:r>
    </w:p>
    <w:p>
      <w:r>
        <w:t>d. Les communes disposent d’une grande liberté de décision dans la définition des modalités concernant les rapports de service qu’elles entretiennent avec leurs agents (arrêts du Tribunal fédéral 8C_78/2012 du 14 janvier 2013 consid. 6.1 ; 2P.46/2006 du 7 juin 2006 consid. 2.2 ; ATA/623/2016 du 19 juillet 2016 ; ATA/653/2015 du 23 juin 2015). Ainsi, l’autorité communale doit bénéficier de la plus grande liberté d’appréciation pour fixer l’organisation de son administration et créer, modifier ou supprimer des relations de service nécessaires au bon</w:t>
      </w:r>
    </w:p>
    <w:p>
      <w:r>
        <w:t>- 27/33 - A/3675/2015 fonctionnement de celles-ci, questions relevant très largement de l’opportunité et échappant par conséquent au contrôle de la chambre de céans (art. 61 al. 2 LPA). Ce pouvoir discrétionnaire ne signifie pas que l’autorité est libre d’agir comme bon lui semble, dès lors qu’elle ne peut ni renoncer à exercer ce pouvoir, ni faire abstraction des principes constitutionnels régissant le droit administratif, notamment la légalité, la bonne foi, l’égalité de traitement, la proportionnalité et l’interdiction de l’arbitraire. Il en découle que le juge doit contrôler que les dispositions prises se tiennent dans les limites du pouvoir d’appréciation de l’autorité communale et qu’elles apparaissent comme soutenables au regard des prestations et du comportement du fonctionnaire ainsi que des circonstances personnelles et des exigences du service (ATA/623/2016 précité ; ATA/653/2015 précité ; ATA/329/2013 du 28 mai 2013).</w:t>
      </w:r>
    </w:p>
    <w:p>
      <w:r>
        <w:t>Une mesure viole le principe de la proportionnalité notamment si elle excède le but visé et qu’elle ne se trouve pas dans un rapport raisonnable avec celui-ci et les intérêts compromis (ATF 130 I 65 consid. 3.5.1 ; 128 II 292 consid. 5.1 ; arrêts du Tribunal fédéral 8C_779/2015 du 8 août 2016 consid. 10.2 ; 1C_223/2014 du 15 janvier 2015 consid. 4.1 ; 8C_62/2014 du 29 novembre 2014 consid. 5.2 ; 8C_292/2011 du 9 décembre 2011 consid. 6.2).</w:t>
      </w:r>
    </w:p>
    <w:p>
      <w:r>
        <w:t>Une décision est arbitraire au sens de l’art. 9 Cst. lorsqu’elle est manifestement insoutenable, se trouve en contradiction claire avec la situation de fait, viole gravement une norme ou un principe juridique indiscuté ou encore heurte de manière choquante le sentiment de la justice et de l’équité. Il n’y a pas arbitraire du seul fait qu’une autre solution que celle adoptée par l’autorité intimée serait concevable, voire préférable (ATF 141 I 49 consid. 3.4 ; 140 I 201 consid. 6.1 ; 133 I 149 consid. 3.1). De plus, pour qu’une décision soit annulée au titre de l’arbitraire, il ne suffit pas qu’elle se fonde sur une motivation insoutenable ; encore faut-il qu’elle apparaisse arbitraire dans son résultat (ATF 141 I 49 consid. 3.4 ; 140 I 201 consid. 6.1 ; 138 I 305 consid. 4.4 ; 138 III 378 consid. 6.1).</w:t>
      </w:r>
    </w:p>
    <w:p>
      <w:r>
        <w:rPr>
          <w:b/>
        </w:rPr>
        <w:t>E. 5</w:t>
      </w:r>
    </w:p>
    <w:p>
      <w:r>
        <w:t>a. En l’espèce, bien que divers reproches aient conduit à l’ouverture d’une enquête administrative à l’encontre de la recourante, selon la décision du CA du 2 juin 2014, seuls quatre d’entre eux ont été retenus à son issue, à savoir le non- respect des horaires de travail, des propos inadéquats envers Mmes G______ et I______, une instruction défaillante de ses plus proches collaboratrices ainsi que la demande à celles-ci d’emmener son chien chez le vétérinaire.</w:t>
      </w:r>
    </w:p>
    <w:p>
      <w:r>
        <w:t>b. La recourante conteste la réalisation des trois premiers reproches formulés à son encontre, arguant qu’ils ne reposent sur aucun élément du dossier mais sur les seules déclarations de ses proches collaboratrices, à prendre en compte avec circonspection.</w:t>
      </w:r>
    </w:p>
    <w:p>
      <w:r>
        <w:t>- 28/33 - A/3675/2015</w:t>
      </w:r>
    </w:p>
    <w:p>
      <w:r>
        <w:t>Un certain nombre d’éléments de la procédure laissent pour justifiés les griefs qu’elle formule. Ainsi, suite à l’entretien du 31 octobre 2013 au cours duquel Mmes G______, H______ et I______ ont révélé l’existence de problèmes avec leur cheffe, la procédure interne qui a été mise en place par M. B______ prête déjà le flanc à la critique et laisse entrevoir un certain parti pris en défaveur de la recourante, une mésentente ayant au demeurant été relevée entre ces deux personnes au cours de l’enquête administrative, notamment au regard des déclarations de Mme L______, de MM. AD______, AC______ et AK______ et même de Mme H______. Outre le fait que la recourante n’a été informée de l’existence des doléances de ses collaborateurs, sans qu’ils fussent nommés, que le 4 mars 2014, qu’elle se soit d’emblée vu proposer un autre poste et que, suite à ses demandes répétées, l’intégralité des pièces ne lui ait pas été remise, en particulier les notes d’entretien ayant donné lieu au rapport de Mme X______, qui n’ont été versées au dossier que durant l’enquête administrative, les deux rapports établis en décembre 2013 et le 11 mars 2014 apparaissent l’avoir été exclusivement à charge, la recourante n’ayant pas été entendue et les personnes auditionnées, qui ne comprenaient pas l’ensemble des membres du SCM, n’ayant pas été interrogées de manière contradictoire, au demeurant dans la garantie de leur anonymat. En particulier, la lecture du rapport de Mme X______, dont la teneur reprend en substance celui de Mme Y______, ne permet pas non plus de s’assurer que les reproches formulés par les dénonciatrices étaient partagés par l’ensemble du service, ce d’autant que les personnes interrogées n’ont pas signé leurs déclarations, d’ailleurs non datées, permettant d’en attester la véracité et qu’elles n’ont pas non plus été mises au courant de l’objet de l’entretien, qui devait porter sur « le domaine des RH », selon la convocation versée au dossier par Mme P______. Au regard de ces éléments, le contenu de ces documents ne peut ainsi être appréhendé qu’avec retenue, les auditions menées durant l’enquête administrative ayant permis de les relativiser dans une large mesure.</w:t>
      </w:r>
    </w:p>
    <w:p>
      <w:r>
        <w:t>En effet, il ressort des procès-verbaux des auditions menées de manière contradictoire par l'enquêtrice administrative que les collaborateurs du SCM ont, dans leur globalité, tenu des propos élogieux au sujet de leur cheffe et vanté ses qualités tant professionnelles qu’humaines. Cette appréciation positive apparaît largement partagée par les membres du CM entendus par l’enquêtrice, de même que, s’agissant du CA, par Mme C______, à l’exception de M. D______ en raison de son différend relationnel avec la recourante, lequel était d’ailleurs de notoriété publique selon les déclarations des témoins. Quant à M. B______, il a également expliqué que la recourante donnait entière satisfaction dans son poste, lequel, selon plusieurs des personnes entendues, était du reste difficile en raison de sa position, entre le CM et le CA, et des tensions que cette situation pouvait engendrer. Il paraît ainsi étonnant que les dénonciatrices ainsi que M. T______, lequel s’était, par le passé, porté candidat au poste de chef du SCM et convoitait celui de chef de service du SCM aux dires de plusieurs témoins, en particulier Mmes P______ et Q______ ainsi que M. B______, aient été les seuls à émettre</w:t>
      </w:r>
    </w:p>
    <w:p>
      <w:r>
        <w:t>- 29/33 - A/3675/2015 des critiques à l’encontre de la recourante, étant précisé que Mmes G______ et H______ ont sensiblement nuancé leurs précédentes critiques lors de leur audition par l’enquêtrice, sans que l’écoulement du temps ou le fait qu’elles continuaient à travailler pour le compte de la ville puisse l’expliquer. S’il est certes vrai que Mmes G______, H______ et I______ étaient des proches collaboratrices de la recourante, il n’en demeure pas moins que tel était également le cas d’autres employés du SCM, comme Mme K______ ou M. N______, dont les propos divergent sensiblement de ceux des premières nommées. D’ailleurs, plusieurs des personnes interrogées n’ont fait mention d’aucune tension entre la recourante et ses collaboratrices, à commencer par Mme K______, qui partageait pourtant le bureau de Mmes H______, I______ et J______.</w:t>
      </w:r>
    </w:p>
    <w:p>
      <w:r>
        <w:t>Selon les déclarations de Mmes P______ et Q______, les dénonciatrices, en particulier Mme G______, considérée comme la « meneuse » du groupe, avaient tenté de nuire à la recourante, sentiment qui ressort d’ailleurs des éléments susmentionnés, M. AC______ ayant parlé d’une véritable cabale menée à son encontre. À cela s’ajoute que les dénonciatrices, au contraire de la recourante, n’apparaissaient pas donner entière satisfaction dans l’exécution de leur travail en raison du retard qu’elles ont accumulé, comme l’ont expliqué Mmes M______ et L______, soit les employées du SCM qui leur ont succédé, ainsi que Mme P______ et MM. AC______ et AD______, Mme AH______ n’ayant pas hésité à indiquer que Mme H______ lui avait parlé sur un ton inacceptable. Face à la recourante, dont le travail ne prêtait pas le flanc à la critique, les collaboratrices concernées ne pouvaient que ressentir une certaine frustration, ce qui ressort d’ailleurs de la note relative à la séance du 31 octobre 2013 avec M. B______, dont elles attendaient qu’il tire les conséquences de leurs doléances et écarte la recourante du poste de cheffe de service du SCM sous peine de quitter leurs fonctions. À cela s’ajoute que, comme l’ont indiqué divers témoins, en particulier MM. V______ et N______, les dénonciatrices peinaient à résister au stress causé par leur activité, inhérent au travail au SCM, sans que cette situation soit imputable à la recourante.</w:t>
      </w:r>
    </w:p>
    <w:p>
      <w:r>
        <w:t>S’agissant en particulier de Mme G______, ses propos sont particulièrement sujets à caution au regard du déroulement des événements. En effet, après avoir fait part de ses doléances à M. B______ lors de l’entretien du 31 octobre 2013, elle a été auditionnée tant par Mmes Y______ que X______ en vue de l’établissement de leur rapport respectif. Elle savait ainsi qu’une enquête interne était en cours contre la recourante. Cela ne l’a toutefois pas empêchée de se plaindre auprès de M. D______, qu’elle a rencontré à deux reprises dans ce but, entre les mois d’avril et de juin 2014, lui révélant l’épisode de l’enregistrement, par la recourante, des séances auquel il avait pris part, dont elle avait jusque-là tu l’existence. Rien ne justifiait objectivement de saisir M. D______ de ces faits, dès lors qu’il n’occupait plus le poste de maire, sinon la volonté de nuire délibérément à la recourante au regard de ses mauvaises relations avec ce dernier, ce qui était de</w:t>
      </w:r>
    </w:p>
    <w:p>
      <w:r>
        <w:t>- 30/33 - A/3675/2015 notoriété publique. Mme G______ a d’ailleurs expliqué qu’elle avait délibérément renoncé à parler de ces événements à Mme C______, qui occupait à cette époque la fonction de maire, étant donné son « parti pris pour Mme A______ ». À ces éléments s’ajoute la relation ambiguë qu’entretenait Mme G______ avec la recourante, avec laquelle elle était tantôt en bons termes, tantôt en désaccord, comme l’ont relevé Mme Q______ et M. V______, Mme O______ ayant parlé de relation « fusionnelle » et M. AC______ de proximité entre les deux femmes, ainsi que le contexte difficile des activités du SCM, pris en porte-à-faux entre le CA et le CM, ce qui pouvait générer un stress important pour les employés, sans que la recourante ne puisse en porter la responsabilité.</w:t>
      </w:r>
    </w:p>
    <w:p>
      <w:r>
        <w:t>Ces éléments suffisent à ôter de leur crédibilité aux déclarations de Mme G______, de même qu’à celles des autres dénonciateurs et de M. T______, qui ne doivent être prises en compte qu’avec grande circonspection et ne sauraient à elles seules fonder une violation, par la recourante, des devoirs du personnel. Il n’apparaît ainsi pas nécessaire de procéder à l’analyse des pièces produites par la recourante devant la chambre de céans, qui sont sans lien avec l’objet du présent litige.</w:t>
      </w:r>
    </w:p>
    <w:p>
      <w:r>
        <w:t>c. S’agissant en particulier du non-respect des horaires de travail imputé à la recourante, ce reproche repose sur les seules déclarations de Mmes G______, I______ et H______, qui ne peuvent être retenues qu’avec précaution, ce d’autant que la dernière nommée ne travaillait pas à plein temps et que son bureau ne se situait pas au même étage que celui de la recourante, de sorte qu’elle ne pouvait se rendre systématiquement compte de la présence ou des absences de celle-ci. Par ailleurs, aucun des autres collaborateurs du SCM interrogés durant l’enquête n’ont relevé de telles absences systématiques de la recourante, insistant au contraire sur le fait qu’elle se trouvait toujours à son poste lorsqu’ils la cherchaient et vantant sa disponibilité, tout comme les membres du CM. La hiérarchie de la recourante n’a pas non plus fait état d’une telle situation ni ne lui a reproché de ne pas respecter l’horaire de travail, le seul problème relevé ayant porté sur ses heures supplémentaires, réglé depuis lors comme l’a indiqué Mme C______. Quant aux propos de M. AE______, ils ne sauraient revêtir le sens que leur a donné l’enquêtrice, dès lors que celui-ci n’apparaît pas avoir indiqué des absences systématiques de la recourante le matin, mais bien que celle-ci était toujours présente à son poste, hormis à de rares exceptions qui coïncidaient avec la tenue de séances du CM la veille au soir. Enfin, s’agissant des explications de la recourante, elles restent vagues et ne permettent pas non plus de considérer qu’elle ne respectait pas l’horaire de travail de manière systématique.</w:t>
      </w:r>
    </w:p>
    <w:p>
      <w:r>
        <w:t>d. Le sanctionnement pour des propos inadéquats que la recourante aurait tenus envers Mme G______, qu’elle aurait traitée de « morue » et de « peste », n’emporte pas non plus la conviction. Si le contexte de ces échanges avec la recourante a certes été évoqué par Mme G______, il n’en demeure pas moins que</w:t>
      </w:r>
    </w:p>
    <w:p>
      <w:r>
        <w:t>- 31/33 - A/3675/2015 celle-ci n’en a fait part que tardivement, devant l’enquêtrice seulement, alors qu’elle était en mesure de le faire lors de la procédure interne déjà, dans le cadre de laquelle elle est toutefois restée vague. Ces événements n’ont au demeurant été corroborés par aucun témoin, étant précisé que tant Mmes I______ et H______ sont restées vagues quant au comportement supposé de la recourante, arguant seulement qu’elle pouvait faire preuve d’impolitesse, sans autre précision et hors de tout contexte. À cela s’ajoute la relation particulière qu’entretenait Mme G______ avec sa cheffe, à laquelle elle n’hésitait pas à tenir tête, l’ayant même « narguée ». Il s’ensuit que ces faits ne peuvent être retenus à l’encontre de la recourante.</w:t>
      </w:r>
    </w:p>
    <w:p>
      <w:r>
        <w:t>e. Il en va de même des prétendues instructions défaillantes que la recourante aurait données à ses collaboratrices, reproche n’ayant été étayé d’aucun élément concret. Il ressort en particulier du dossier que les collaboratrices concernées étaient en poste au SCM depuis de nombreuses années, notamment Mme G______ qui y travaillait depuis 1995, de sorte qu’elles connaissaient leur travail, ce que cette dernière a d’ailleurs admis devant l’enquêtrice. Quant à Mme I______, elle a nuancé ses propos au sujet des instructions reçues de la part de la recourante, expliquant également qu’une grande partie de son travail lui était confié par les présidents des commissions, et non par sa cheffe. Les témoins entendus ont en outre expliqué que les instructions données par la recourante étaient suffisantes, ce qu’a également confirmé M. N______, son adjoint, lequel n’a évoqué des difficultés qu’en lien avec l’exécution de son travail en raison du stress qu’il engendrait, sans lien avec sa cheffe. Mme P______ a aussi évoqué la confiance que la recourante accordait à ses subordonnés, dès lors qu’elle leur laissait une certaine autonomie dans l’exécution de leurs tâches, de manière à les valoriser.</w:t>
      </w:r>
    </w:p>
    <w:p>
      <w:r>
        <w:t>f. Il en va de même de l’incident du vétérinaire. Bien que la recourante ne conteste pas qu’à une reprise, deux de ses subordonnées ont emmené son chien chez le vétérinaire durant les heures de bureau, ce que Mmes G______ et H______ ont confirmé, il n’en demeure pas moins que cet événement ne peut être retenu à son encontre. Outre le fait qu’elle a indiqué, pièces à l’appui, qu’elle devait impérativement se trouver à son poste de travail à compter de 10h, l’épisode en question, qui a eu lieu en 2007, constitue un événement isolé, qui ne s’est produit qu’à une reprise, avec l’accord des collaboratrices concernées, la recourante n’ayant au surplus aucun antécédent disciplinaire à son actif. Compte tenu de ces éléments, ainsi que de l’écoulement du temps, il serait en tout état de cause contraire au principe de proportionnalité d’infliger à la recourante une sanction disciplinaire, cela même si l’avertissement constitue, aux termes du SPVG, la sanction la plus clémente. Dans ce cadre, la question de la prescription de l’action disciplinaire peut souffrir de rester indécise.</w:t>
      </w:r>
    </w:p>
    <w:p>
      <w:r>
        <w:t>- 32/33 - A/3675/2015</w:t>
      </w:r>
    </w:p>
    <w:p>
      <w:r>
        <w:t>g. Il résulte ainsi de ce qui précède que l’autorité intimée ne pouvait retenir une violation, par la recourante, de ses devoirs du personnel en lien avec ces faits, qui apparaissent infondés.</w:t>
      </w:r>
    </w:p>
    <w:p>
      <w:r>
        <w:rPr>
          <w:b/>
        </w:rPr>
        <w:t>E. 6</w:t>
      </w:r>
    </w:p>
    <w:p>
      <w:r>
        <w:t>Il s’ensuit que le recours sera admis, et la décision attaquée annulée.</w:t>
      </w:r>
    </w:p>
    <w:p>
      <w:r>
        <w:rPr>
          <w:b/>
        </w:rPr>
        <w:t>E. 7</w:t>
      </w:r>
    </w:p>
    <w:p>
      <w:r>
        <w:t>Vu l’issue du litige, aucun émolument ne sera mis à la charge de la recourante (art. 87 al. 1 LPA), qui obtient gain de cause, et une indemnité de procédure de CHF 1'500.- lui sera allouée, à la charge de la ville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