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ATA/87/2011 vom 1. Februar 2011</w:t>
      </w:r>
    </w:p>
    <w:p>
      <w:r>
        <w:t>GE Cour de justice, 2011-02-01, FR</w:t>
      </w:r>
    </w:p>
    <w:p>
      <w:r>
        <w:rPr>
          <w:b/>
        </w:rPr>
        <w:t xml:space="preserve">Quelle: </w:t>
      </w:r>
      <w:r>
        <w:t>https://mcp.opencaselaw.ch/entscheid/ge_gerichte_ATA_87_2011</w:t>
      </w:r>
    </w:p>
    <w:p>
      <w:r>
        <w:t>FR: GE_GERICHTE ATA/87/2011 du 1 février 2011</w:t>
      </w:r>
    </w:p>
    <w:p>
      <w:r>
        <w:t>IT: GE_GERICHTE ATA/87/2011 del 1 febbraio 2011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observations et les pièces produites par le DIM et le DCTI font cependant apparaître que les travaux en cours seraient différents de ceux dénoncés par M. O______ et ayant fait l'objet de l’ATA/61/2011 précité.</w:t>
      </w:r>
    </w:p>
    <w:p>
      <w:r>
        <w:rPr>
          <w:b/>
        </w:rPr>
        <w:t>E. 4</w:t>
      </w:r>
    </w:p>
    <w:p>
      <w:r>
        <w:t>Au vu de ce qui précède, il appartient dès lors au TAPI d'instruire et de statuer sur cette requête, raison pour laquelle la demande de mesures provisionnelles sera déclarée irrecevable et transmise à celui-ci pour raison de compétence (art. 64 al. 2 LPA).</w:t>
      </w:r>
    </w:p>
    <w:p>
      <w:r>
        <w:rPr>
          <w:b/>
        </w:rPr>
        <w:t>E. 5</w:t>
      </w:r>
    </w:p>
    <w:p>
      <w:r>
        <w:t>Vu l'issue du litige, il ne sera pas perçu d'émolument ni alloué d'indemnité de procédure (art. 87 LPA). * * * * *</w:t>
      </w:r>
    </w:p>
    <w:p>
      <w:r>
        <w:t>- 4/4 - A/325/2011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