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ATA/876/2025 vom 19. August 2025</w:t>
      </w:r>
    </w:p>
    <w:p>
      <w:r>
        <w:t>GE Cour de justice, 2025-08-19, FR</w:t>
      </w:r>
    </w:p>
    <w:p>
      <w:r>
        <w:rPr>
          <w:b/>
        </w:rPr>
        <w:t xml:space="preserve">Quelle: </w:t>
      </w:r>
      <w:r>
        <w:t>https://mcp.opencaselaw.ch/entscheid/ge_gerichte_ATA_876_2025</w:t>
      </w:r>
    </w:p>
    <w:p>
      <w:r>
        <w:t>FR: GE_GERICHTE ATA/876/2025 du 19 août 2025</w:t>
      </w:r>
    </w:p>
    <w:p>
      <w:r>
        <w:t>IT: GE_GERICHTE ATA/876/2025 del 19 agosto 2025</w:t>
      </w:r>
    </w:p>
    <w:p>
      <w:pPr>
        <w:pStyle w:val="Heading2"/>
      </w:pPr>
      <w:r>
        <w:t>Regeste</w:t>
      </w:r>
    </w:p>
    <w:p>
      <w:r>
        <w:t>Résumé: Après rappel de la jurisprudence concernant la distinction entre des travaux d’entretien et de rénovation ainsi que des critères y relatifs, le département pouvait considérer à bon droit que les travaux effectués in casu constituaient des travaux de rénovation soumis à autorisation au sens de la LDTR. Aucun des arguments invoqués, ayant déjà été tranchés dans d’autres cas, ne permet de remettre en question la jurisprudence, correctement appliquée. Vu les circonstances du cas d’espèce, l’amende apparaît justifiée dans son principe et proportionnée dans sa quotité.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mars 2021, confirmé par l’arrêt du Tribunal fédéral 1C_195/2021 précité) ; - des travaux d’un coût total de CHF 39'275.- (peinture dans l’entier de l’appartement, ponçage et vitrification du parquet, remise en état d’éléments électriques, réglage de portes, armoires et fenêtres, remplacement à l’identique de carrelage et des faïences, de la batterie du lavabo, du porte‑savon, du porte-verre et du siège des WC visiteurs) dans un appartement de quatre pièces, occupé par le même locataire pendant quatorze ans, ayant fait l’objet de travaux d’entretien pendant cette durée pour un montant de CHF 1'228.-, avec une augmentation de loyer de 56% au départ du locataire, était soumis à autorisation s’agissant de travaux d’entretien différé. Le loyer/pièce passait de CHF 4'983.- avant travaux à CHF 7'800.- après travaux (augmentation de 56%), ces derniers représentant CHF 9'818.-/pièce (ATA/870/2023 du 22 août 2023 confirmé par l’arrêt du Tribunal fédéral 1C_549/2023 du 11 octobre 2024) ; - des travaux ayant eu pour objet la remise à neuf de la cuisine et de la salle de bains, le rafraichissement des murs, plafonds et boiseries ainsi que la mise à jour du</w:t>
      </w:r>
    </w:p>
    <w:p>
      <w:r>
        <w:t>- 17/29 - A/1694/2024 système électrique dans toutes les pièces, pour un coût total de CHF 40'000.- soit environ CHF 8'000.- par pièce, effectués de manière groupée, durant trois mois, à l’occasion d’un changement de locataire, pour la première fois depuis 27 ans, procurait à l’appartement en question un confort supplémentaire (ATA/958/2024 du 20 août 2024 consid. 3.5, un recours est actuellement pendant auprès du Tribunal fédéral sous la cause n° 1C_578/2024) ; - des travaux dans un appartement de 2.5 pièces consistant à remplacer l’alimentation en eau et des canalisations des eaux usées de la salle de bains, des toilettes et de la cuisine, à remplacer les pavements et les carrelages ainsi que des meubles et de l’électroménager de la cuisine, pour un coût total de CHF 63'500.-, soit CHF 25'400.- par pièce, n’ayant pas été accomplis durant les décennies précédentes et ayant amélioré le confort, avec une augmentation de loyer de 180% après ceux-ci (ATA/8/2025 du 7 janvier 2025 consid. 3.8).</w:t>
      </w:r>
    </w:p>
    <w:p>
      <w:r>
        <w:rPr>
          <w:b/>
        </w:rPr>
        <w:t>E. 2.1</w:t>
      </w:r>
    </w:p>
    <w:p>
      <w:r>
        <w:t>Selon l’art. 1 al. 1 let. b LCI, sur tout le territoire du canton nul ne peut, sans y avoir été autorisé, modifier même partiellement le volume, l'architecture, la couleur, l'implantation, la distribution ou la destination d'une construction ou d'une installation. L’art. 3 al. 7 LCI prévoit que le département peut traiter par une procédure accélérée les demandes d’autorisation relatives à des travaux soumis à l’art. 1 LCI notamment s’ils portent sur la modification intérieure d’un bâtiment existant ou ne modifient pas l’aspect général de celui-ci (let. b).</w:t>
      </w:r>
    </w:p>
    <w:p>
      <w:r>
        <w:rPr>
          <w:b/>
        </w:rPr>
        <w:t>E. 2.2</w:t>
      </w:r>
    </w:p>
    <w:p>
      <w:r>
        <w:t>La LDTR a pour but de préserver l’habitat et les conditions de vie existants ainsi que le caractère actuel de l’habitat dans les zones visées à l’art. 2 LDTR (art. 1 al. 1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 La réglementation qu'elle met en place est conforme au droit fédéral, à la garantie de la propriété et à la liberté économique, y compris dans la mesure où elle prévoit un contrôle des loyers après transformations (ATF 116 Ia 401 consid. 9c ; 111 Ia 401 consid. 9 ; arrêt du Tribunal fédéral 1C_195/2021 du 28 octobre 2021 consid. 5.1.3).</w:t>
      </w:r>
    </w:p>
    <w:p>
      <w:r>
        <w:rPr>
          <w:b/>
        </w:rPr>
        <w:t>E. 2.3</w:t>
      </w:r>
    </w:p>
    <w:p>
      <w:r>
        <w:t>Selon l’art. 3 al. 1 let. d LDTR, par transformation, on entend notamment tous les travaux qui ont pour objet la rénovation, c’est-à-dire la remise en état, même partielle, de tout ou partie d’une maison d’habitation, en améliorant le confort existant sans modifier la distribution des logements, sous réserve de l'art. 3 al. 2 LDTR. Selon cette dernière disposition,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Le législateur a précisé que les travaux courants d'entretien sont ceux qui sont déjà couverts par les loyers, ou devraient l’être, une partie du loyer étant précisément censée permettre la constitution d’une réserve pour travaux d’entretien (MGC 1999 9/II 1082).</w:t>
      </w:r>
    </w:p>
    <w:p>
      <w:r>
        <w:t>- 13/29 - A/1694/2024 C’est le département, et non l’administré, qui détermine dans chaque cas si des travaux relèvent de l’entretien ou de la transformation. Si des travaux de pur entretien ne nécessitent pas d’autorisation, il incombe toutefois au propriétaire, en cas de doute, de demander l’avis du département et d’effectuer les démarches nécessaires pour agir en conformité à la loi (ATA/694/2016 du 23 août 2016 consid. 7 ; Emmanuelle GAIDE/Valérie DÉFAGO GAUDIN, La LDTR : Démolition, transformation, rénovation, changement d'affectation et aliénation : immeubles de logement et appartements : loi genevoise et panorama des autres lois cantonales, 2014, p. 186).</w:t>
      </w:r>
    </w:p>
    <w:p>
      <w:r>
        <w:rPr>
          <w:b/>
        </w:rPr>
        <w:t>E. 2.4</w:t>
      </w:r>
    </w:p>
    <w:p>
      <w:r>
        <w:t>Une autorisation est nécessaire pour toute transformation ou rénovation. L'autorisation est accordée notamment pour les travaux de rénovation au sens de l'art. 3 al. 1 let. d LDTR (art. 9 al. 1 let. e LDTR). Le département accorde l’autorisation si les logements transformés répondent, quant à leur genre, leur loyer ou leur prix, aux besoins prépondérants de la population (art. 9 al.</w:t>
      </w:r>
    </w:p>
    <w:p>
      <w:r>
        <w:rPr>
          <w:b/>
        </w:rPr>
        <w:t>E. 2.4.1</w:t>
      </w:r>
    </w:p>
    <w:p>
      <w:r>
        <w:t>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w:t>
      </w:r>
    </w:p>
    <w:p>
      <w:r>
        <w:t>- 14/29 - A/1694/2024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(ATA/651/2022 du 23 juin 2022 consid. 7b ; ATA/422/2020 du 30 avril 2020 consid. 6).</w:t>
      </w:r>
    </w:p>
    <w:p>
      <w:r>
        <w:rPr>
          <w:b/>
        </w:rPr>
        <w:t>E. 2.4.2</w:t>
      </w:r>
    </w:p>
    <w:p>
      <w:r>
        <w:t>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w:t>
      </w:r>
    </w:p>
    <w:p>
      <w:r>
        <w:rPr>
          <w:b/>
        </w:rPr>
        <w:t>E. 2.4.3</w:t>
      </w:r>
    </w:p>
    <w:p>
      <w:r>
        <w:t>Lorsque le coût des travaux n'est pas susceptible d'entraîner à lui seul une soumission des travaux à la LDTR, c'est la combinaison de ce montant et de son impact sur les loyers qui est jugée déterminante (ATA/651/2022 précité consid. 7b et l'arrêt cité).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Selon la jurisprudence, l'exécution de travaux de remise en état auxquels le bailleur est tenu en vertu du CO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 arrêt du Tribunal fédéral 1C_405/2015 du 6 avril 2016 consid. 3.2). Seules les remises en état qui vont au‑delà de ce qui est nécessaire pour assurer le maintien de la chose louée en l'état tombent sous le coup de l'art. 3 al. 1 let. d LDTR. Il n'est pas arbitraire de tenir compte à cet égard des circonstances dans lesquelles les travaux sont accomplis et notamment de leur accumulation en raison d'un défaut d'entretien courant des bâtiments concernés (arrêt du Tribunal fédéral 1C_195/2021 du 28 octobre 2021 consid. 4.1.2 et les références citées).</w:t>
      </w:r>
    </w:p>
    <w:p>
      <w:r>
        <w:t>- 15/29 - A/1694/2024 Des travaux isolés, effectués longtemps auparavant, ne démontrent pas la régularité de l'entretien (ATA/651/2022 précité consid. 8a et les références citées). Le fait de soumettre des travaux à autorisation au sens de la LDTR n'entrave pas la bonne application du droit fédéral, lorsque ceux‑ci vont au-delà des travaux d'entretien courant imposés par le CO (arrêt du Tribunal fédéral 1C_405/2015 précité consid. 3.2).</w:t>
      </w:r>
    </w:p>
    <w:p>
      <w:r>
        <w:rPr>
          <w:b/>
        </w:rPr>
        <w:t>E. 2.4.4</w:t>
      </w:r>
    </w:p>
    <w:p>
      <w:r>
        <w:t>Il a ainsi été considéré que les travaux effectués dans les cas suivants devaient être soumis à autorisation au sens de la LDTR : - 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(ATA/40/2010 du 26 janvier 2010 et les références citées). C'est lorsqu'ils sont effectués séparément, et selon les circonstances, que chacun de ces travaux peuvent être qualifiés de travaux d'entretien. Cela ne signifie pas pour autant qu'une rénovation comprenant l'ensemble des travaux devra nécessairement elle aussi être considérée comme étant limitée à des travaux d'entretien (arrêt du Tribunal fédéral 1C_405/2015 du 6 avril 2016 consid. 4.3 ; ATA/651/2022 précité consid. 8a et l'arrêt cité) ; - ceux ayant pour but de remettre entièrement à neuf un appartement à l'occasion d'un changement de locataire, par la réfection complète des murs, des plafonds, des parquets dans toutes les pièces et des agencements de cuisine, pour un coût de CHF 8'570.- la pièce, étant précisé qu'en l'occurrence, le loyer avant travaux dépassait déjà le montant maximal du loyer correspondant aux besoins prépondérants de la population (ATA/334/2014 du 13 mai 2014, confirmé par l'arrêt du Tribunal fédéral 1C_323/2014 du 10 octobre 2014) ; - des travaux ayant pour but la remise à neuf d'un appartement à l'occasion d'un changement de locataire par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pour un coût de CHF 26'240.- pour un appartement de trois pièces et une augmentation de loyer de 54% à la suite de ces derniers, ajoutés à un défaut d'entretien régulier de l'appartement (ATA/440/2015 du 12 mai 2015 consid. 10) ; - des travaux – exécutés pour un montant de CHF 11'407.- par pièce dans un logement ne correspondant, avant travaux, pas aux besoins prépondérants de la population – comprenant la réfection complète des peintures, papiers peints et parquets, avec la pose de radiateurs, l'installation d'un agencement de cuisine et de</w:t>
      </w:r>
    </w:p>
    <w:p>
      <w:r>
        <w:t>- 16/29 - A/1694/2024 nouveaux sanitaires et la mise en conformité des installations électriques, devaient faire l'objet d'une autorisation (ATA/645/2012 du 25 septembre 2012 consid. 11) ; - des travaux comprenant la réfection complète des sols, des murs et des plafonds, le ponçage et la vitrification des parquets, la réfection des agencements de cuisine et de salle de bains, de la douche et du WC devaient faire l’objet d’une autorisation au sens de la LDTR (ATA/328/2013 du 28 mai 2013 confirmé par l’arrêt du Tribunal fédéral 1C_624/2013 du 13 février 2014) ; - des travaux de CHF 34'254.- dans un appartement de cinq pièces de 90 m2, soit CHF 6'850.- par pièce, ayant porté sur le réagencement de la cuisine, le remplacement de l’équipement électroménager, l’installation d’une nouvelle hotte, la réfection du câblage électrique de la cuisine et du salon, la démolition du pan de la cloison séparant la cuisine du salon, la pose d’un carrelage et de faïence à la cuisine et à la salle de bains, le remplacement d’un lavabo, le remplacement du mélangeur et de la batterie de bain, la coupure, la vidange et la dépose des installations sanitaires en attendant la réfection du carrelage de la salle de bains, la réfection du tube de douche, le rafraîchissement de la peinture et le ponçage et l’imprégnation du parquet, avec une augmentation de loyer de 77.95%, le faisant changer de catégorie d’appartements locatifs (ATA/422/2020 du 30 avril 2020) ; - des travaux ayant consisté dans la pose de carrelage dans les WC et la salle de bains, d’une coque acrylique sur la baignoire et de peinture sur les murs et plafonds de toutes les pièces, dans un appartement de quatre pièces, d’un coût global de CHF 27'340.95, soit CHF 6'835.25 la pièce, avec une augmentation de loyer de 60%, loyer plus élevé que la moyenne des loyers dans un immeuble semblable, selon les statistiques genevoises. Dite augmentation ne pouvait ainsi se justifier par la seule référence aux loyers du quartier, ni par le fait qu’il avait été inchangé depuis quatorze ans, ou encore qu’il était, préalablement aux travaux, supérieur au loyer correspondant aux besoins prépondérants de la population (ATA/263/2021 du</w:t>
      </w:r>
    </w:p>
    <w:p>
      <w:r>
        <w:rPr>
          <w:b/>
        </w:rPr>
        <w:t>E. 2.5</w:t>
      </w:r>
    </w:p>
    <w:p>
      <w:r>
        <w:t>En revanche, la chambre de céans a considéré que n'étaient pas soumis à la LDTR des travaux d'entretien différés ou non dans le temps, dont le coût par pièce était inférieur à CHF 10'000.- (ATA/642/2013 du 1er octobre 2013 ; ATA/40/2010 du 26 janvier 2010; Emmanuelle GAIDE/Valérie DÉFAGO GAUDIN, op. cit., p. 193 ss.). Elle a toutefois précisé qu'il ne lui appartenait pas de dicter au département de ne pas requérir de demande d'autorisation de construire pour des travaux de moins de CHF 10'000.- par pièce (ATA/694/2016 précité consid. 6d ; ATA/574/2014 du 29 juillet 2014 ; ATA/334/2014 précité consid. 14). Le département peut ainsi recourir au critère du coût par pièce des travaux, mais doit le relativiser. En réalité, pour déterminer la qualification de travaux entrepris dans des logements situés dans des bâtiments visés à l'art. 2 LDTR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(ATA/651/2022 précité consid. 8f ; ATA/694/2016 précité consid. 6d).</w:t>
      </w:r>
    </w:p>
    <w:p>
      <w:r>
        <w:rPr>
          <w:b/>
        </w:rPr>
        <w:t>E. 2.6</w:t>
      </w:r>
    </w:p>
    <w:p>
      <w:r>
        <w:t>Le rapport entre le coût des travaux entrepris et le montant de la valeur de l'assurance de l'immeuble n'est pas décisif à lui seul pour décider de l'assujettissement des travaux à la LDTR (arrêt du Tribunal fédéral 1C_624/2013 du 13 février 2014 consid. 2.7 ; ATA/646/2010 du 21 septembre 2010 consid. 8 et les arrêts cités ; MGC 1999 9/II 1082).</w:t>
      </w:r>
    </w:p>
    <w:p>
      <w:r>
        <w:rPr>
          <w:b/>
        </w:rPr>
        <w:t>E. 2.7</w:t>
      </w:r>
    </w:p>
    <w:p>
      <w:r>
        <w:t>Le droit du bail est en principe un domaine exclu de la compétence des juridictions administratives (ATA/1334/2023 du 12 décembre 2023 consid. 7.1.3 ; ATA/870/2023 du 22 août 2023 consid. 6.3). Échappent en particulier à leur</w:t>
      </w:r>
    </w:p>
    <w:p>
      <w:r>
        <w:t>- 18/29 - A/1694/2024 compétence les comparaisons établies dans le cadre de procédures de recours avec les loyers d’autres logements similaires dans un quartier (ATA/958/2024 précité consid. 3.5 ; ATA/1334/2023 précité consid. 7.1.3). Le fait que le loyer en lui-même s’inscrit dans les limites de ceux usuellement pratiqués dans le quartier n’est pas pertinent dans l’examen du dossier sous l’angle de la LDTR (ATA/422/2020 du 30 avril 2020 consid. 8 ; ATA/372/2007 du 31 juillet consid. 6). La prétendue absence de lien entre les travaux et l’augmentation du loyer ne saurait en tout cas exonérer le juge administratif de la prise de compte de la hausse dans l’application de la LDTR (ATA/8/2025 du 7 janvier 2025 consid. 3.8).</w:t>
      </w:r>
    </w:p>
    <w:p>
      <w:r>
        <w:rPr>
          <w:b/>
        </w:rPr>
        <w:t>E. 2.8</w:t>
      </w:r>
    </w:p>
    <w:p>
      <w:r>
        <w:t>En l’espèce, la problématique porte sur la question de savoir si les travaux effectués par l’intimée dans l’appartement concerné en 2020 revêtent ou non un caractère différé. Conformément à la jurisprudence susrappelée, il convient, en premier lieu, d’examiner si les travaux en question peuvent constituer, de par leur nature, des travaux de transformation ou de rénovation, avant d’examiner, en second lieu, les répercussions de leur ampleur et de leur coût sur le loyer de l’appartement.</w:t>
      </w:r>
    </w:p>
    <w:p>
      <w:r>
        <w:rPr>
          <w:b/>
        </w:rPr>
        <w:t>E. 2.8.1</w:t>
      </w:r>
    </w:p>
    <w:p>
      <w:r>
        <w:t>Il ressort du formulaire de demande de régularisation de travaux de rénovation et/ou transformation remis par l’intimée que les travaux exécutés ont consisté, dans les pièces sèches, en l’arrachage du papier peint existant, la pose de Scandatex et la peinture, le ponçage, la réparation et l’imprégnation du parquet existant, la pose d’une porte de communication à deux vantaux supprimée par l’ancienne locataire, la modification de deux consoles de fixation et le remplacement d’une console de fixation de radiateurs, et, dans les pièces humides, dans le rafraîchissement des peintures, au contrôle sanitaire, à la pose d’accessoires manquants et au tringlage de l’écoulement. Il s’est également agi, en général, de contrôler les armoires et les portes, de la mise en conformité électrique, de l’encastrement de l’appareillage et du contrôle OIBT (lors duquel un disjoncteur défectueux a dû être remplacé) et du contrôle des polluants (plomb). Selon les documents produits par l’intimée, la pose d’accessoires manquant dans les salles humides vise, en réalité, la mise en place d’un nouvel agencement de cuisine ainsi que le remplacement d’un porte-verre, d’un porte-savon et d’un porte-balai dans la salle de bains. Seules les pièces humides, complètement rénovées en 2014/2015, avaient fait l’objet en 2020 d’un rafraîchissement de peintures. Associées à la nature des travaux effectués, les photographies de l’appartement illustrent l’absence d’entretien régulier de l’objet avec notamment de la tapisserie et des murs défraîchis et une installation électrique apparente obsolète. Ces éléments sont corroborés par le relevé des travaux d’entretien de l’appartement remis par l’intimée, indiquant que seuls divers petits travaux de remplacement d’objets défectueux ou obsolètes ont été effectués depuis 1990 dans l’appartement, alors que les travaux les plus importants ont bel et bien été faits en 2020. Avant cela, la dernière réfection de peintures était celle de la salle de bains en 2010, tandis que la locataire avait elle-même refait les peintures du vestibule en 2005.</w:t>
      </w:r>
    </w:p>
    <w:p>
      <w:r>
        <w:t>- 19/29 - A/1694/2024 Les éléments qui précèdent expliquent que, bien que d’importants travaux de rénovation aient été effectués en 2014/2015, il n’en demeure pas moins qu’environ cinq ans plus tard, l’intimée a estimé nécessaire d’en effectuer de nouveaux. En effet, les éléments versés au dossier démontrent que les travaux effectués en 2020 visaient à terminer ceux effectués en 2014/2015 dans l’appartement, notamment quant à la mise en conformité électrique. Alors que les travaux de rénovation de 2014/2015 avaient consisté en la rénovation des façades, la pose de doubles vitrages, des aménagements extérieurs, des travaux de toiture ainsi que la rénovation de plusieurs appartements (réfection complète des cuisines et sanitaires, mise aux normes des installations électriques, pose de sèche-linge chauffant dans les salles de bains, remise en état de la distribution du chauffage, pose dans les courettes de ventilations mécaniques pour les salles d’eau, réfection des murs et sols), ceux de 2020 visaient à procéder à la mise en conformité de l’installation électrique dans les pièces sèches (gainage de murs pour encastrement des tubes et des prises), afin de terminer ce travail déjà entamé dans les pièces humides (salle de bains, toilettes et cuisine) refaites à neuf en 2014/2015, de même qu’à refaire à neuf les pièces sèches (peinture, parquet, consoles de radiateurs, porte à deux-vantaux), non refaites lors des travaux de 2014/2015. Il s’ensuit que, vu leur regroupement, les travaux effectués en 2020 constituent un entretien différé. La question de savoir s’ils ont porté sur l’ensemble des pièces est une des circonstances entrant dans l’appréciation globale de la situation, pour déterminer la nature précise des travaux effectués. Il apparaît qu’ils ont, à tout le moins, eu pour but de terminer la rénovation de l’appartement entamée par les pièces humides en 2014/2015, avec celle des pièces sèches en 2020. Le fait que des travaux ne puissent pas être qualifiés de remise à neuf complète de l’appartement ne suffit pas pour les considérer comme de simple travaux d’entretien au sens de l’art. 3 al. 2 LDTR. Contrairement aux allégations de la recourante et à ce qu’a retenu le TAPI, le recourant l’a invitée à lui transmettre ses observations sur les travaux effectués ces quinze dernières années et a ainsi pu prendre connaissance de la totalité des travaux effectués en 2014/2015. Il en avait dès lors tenu compte dans le cadre de l’examen du dossier de l’intimée.</w:t>
      </w:r>
    </w:p>
    <w:p>
      <w:r>
        <w:rPr>
          <w:b/>
        </w:rPr>
        <w:t>E. 2.8.2</w:t>
      </w:r>
    </w:p>
    <w:p>
      <w:r>
        <w:t>Le coût total des travaux s’est élevé à CHF 34'902.- pour un appartement de quatre pièces, ce qui correspond à un montant d’environ CHF 8'725.- la pièce. Le loyer de l’appartement avait déjà pu être augmenté dès le 1er août 2015 à la suite des travaux de rénovation effectués en 2014/2015. Bien qu’il eût alors été fixé à CHF 15'075.- par an, l’intimée l’a augmenté à CHF 38'400.- à partir du 1er juin 2020, lors de la reprise de l’appartement par les nouveaux locataires, soit une augmentation de loyer de 154%. Ajoutée aux considérations qui précèdent, il ne peut être retenu que les travaux en question n’ont eu aucune incidence sur ladite augmentation de loyer, ce d’autant moins que l’intimée se prévaut elle-même de son besoin de l’augmenter afin de</w:t>
      </w:r>
    </w:p>
    <w:p>
      <w:r>
        <w:t>- 20/29 - A/1694/2024 couvrir et amortir les dépenses occasionnées par ceux-ci, de même que ceux exécutés en 2020. Même s’il fallait considérer que les coûts de travaux étaient inférieurs à la valeur d’assurance, ce motif ne suffirait pas à lui seul, selon la jurisprudence précitée, à admettre que les travaux litigieux auraient consisté en de l’entretien non soumis à autorisation, vu notamment leur ampleur et leur répercussion sur le loyer. Au demeurant, il ressort des travaux préparatoires qu’il n’est pas nécessaire de rapporter le coût global des travaux entrepris à la valeur d’assurance de l’immeuble pour déterminer si lesdits travaux sont ou non soumis à la loi. L’argument selon lequel le loyer après travaux avait été fixé en fonction des loyers du quartier, et non en fonction des travaux effectués, n’est pas de nature à remettre en cause l’analyse qui a été effectuée précédemment. En effet, tel que rappelé à plusieurs reprises, les comparaisons établies dans le cadre de procédures de recours avec les loyers d’autres logements similaires dans un quartier échappent à la compétence de la chambre de céans, dans la mesure où elles ressortissent au droit du bail.</w:t>
      </w:r>
    </w:p>
    <w:p>
      <w:r>
        <w:rPr>
          <w:b/>
        </w:rPr>
        <w:t>E. 2.8.3</w:t>
      </w:r>
    </w:p>
    <w:p>
      <w:r>
        <w:t>Il résulte de ce qui précède que c’est à bon droit que le département a estimé que les travaux entrepris par l’intimée dans l’appartement en 2020 devaient faire l’objet d’une autorisation au sens de la LDTR, en tant qu’ils ne pouvaient être considérés comme de simples travaux d’entretien.</w:t>
      </w:r>
    </w:p>
    <w:p>
      <w:r>
        <w:rPr>
          <w:b/>
        </w:rPr>
        <w:t>E. 3</w:t>
      </w:r>
    </w:p>
    <w:p>
      <w:r>
        <w:t>Dans le cadre de son recours contre les décisions querellées par-devant le TAPI et ses écritures responsives par-devant la chambre de céans, l’intimée a formulé divers griefs identiques à ceux traités dans l’arrêt ATA/1334/2023 du 12 décembre 2023, cas dans lequel les intimés étaient alors représentés par la même mandataire que celle de l’intimée in casu. Tous invoquaient les arguments suivants : - absence d'information sur la notion de travaux d'entretien soumis à autorisation, faute pour le département d’avoir émis une directive fixant des règles « claires » sur la soumission ou non de travaux d'entretien à autorisation de construire ; - une jurisprudence cantonale en matière de LDTR trop abondante et peu claire ; - la nécessité pour les gérants techniques des régies d’appliquer la règle simplificatrice selon laquelle ils étaient dispensés de déposer une demande d'autorisation si les travaux coûtaient moins de CHF 10'000.- par pièce ; - un durcissement « incompréhensible » des règles d'interprétation des travaux d'entretien depuis 2014, la pratique du département consistant à soumettre quasi systématiquement des travaux d'entretien à autorisation, ce qui contreviendrait à la jurisprudence applicable ; - une application rétroactive des règles « injustement excessives » en 2024 à des travaux exécutés en 2020, en violation des principes de la légalité et de la proportionnalité ;</w:t>
      </w:r>
    </w:p>
    <w:p>
      <w:r>
        <w:t>- 21/29 - A/1694/2024 - une interprétation extensive de l’art. 129 let. e LCI pour imposer l’ordre d’établir une formule officielle fixant le loyer et le remboursement des loyers perçus en trop, contraire au principe de la légalité.</w:t>
      </w:r>
    </w:p>
    <w:p>
      <w:r>
        <w:rPr>
          <w:b/>
        </w:rPr>
        <w:t>E. 3.1</w:t>
      </w:r>
    </w:p>
    <w:p>
      <w:r>
        <w:t>Examinant les griefs susmentionnés dans l’arrêt ATA/1334/2023 précité (confirmé par l’arrêt du Tribunal fédéral 1C_71/2024 du 11 octobre 2024) en se fondant sur son arrêt ATA/870/2023 précité (confirmé par l’arrêt du Tribunal fédéral 1C_549/2023 précité), la chambre de céans a notamment retenu que, contrairement à un renseignement erroné de l'administration, l'absence d'information n'est pas protégée par le principe de la bonne foi. Les intimés ne pouvaient dès lors tirer aucune conséquence juridique d'une prétendue absence d'informations sur la notion de travaux d'entretien soumis à autorisation. En outre, la LDTR et le RDTR, à l'instar de toute la législation genevoise, étaient publiés sur internet et librement accessibles. Le département n'avait aucune obligation d'édicter des directives, étant précisé que ces dernières, le cas échéant, ne le liaient pas. Les critères permettant à l'administré de savoir s'il doit ou non déposer une demande d'autorisation en vue de l'exécution de travaux avaient été fixés et rappelés dans l'abondante jurisprudence cantonale développée par la chambre de céans, l'ancien Tribunal administratif et le Tribunal fédéral. Celle-ci était accessible sur le site du Pouvoir judiciaire, sur lequel l'administré pouvait consulter des arrêts traitant des problématiques de la LDTR remontant jusqu'à 1989. Dès lors, l'administré disposait, lorsqu'il voulait entreprendre des travaux, de toutes les informations nécessaires pour agir conformément à la loi. Par ailleurs, il ne ressortait pas de la jurisprudence de la chambre de céans, ni de celle de l'ancien Tribunal administratif, que les juridictions administratives auraient considéré, avant 2016, que des travaux dont le coût était inférieur à CHF 10'000.- par pièce ne seraient systématiquement pas soumis à autorisation, critère n’étant au demeurant pas absolu en regard des autres critères. Les intimés semblaient dès lors avoir fait une lecture erronée de la jurisprudence et ne pouvaient s'en prévaloir pour justifier leur omission d'avoir déposé une demande d'autorisation (consid. 4). La LDTR poursuivait des intérêts publics évidents, en particulier le maintien dans le parc locatif de suffisamment de logements à prix abordables, ce qui était en soi suffisant pour justifier un éventuel durcissement de la pratique conforme aux principes jurisprudentiels applicables, le Tribunal fédéral ayant par ailleurs relevé que la pratique n'en devenait pas pour autant arbitraire dans son résultat (arrêt du Tribunal fédéral 1C_405/2015 du 6 avril 2016 consid. 4.3 ; consid. 5). La décision litigieuse, soit l'autorisation délivrée, était fondée sur l'art. 3 al. 1 let. d et al. 2 a contrario LDTR, qui sont des bases légales tant matérielles que formelles. Cet article, dans sa teneur actuelle, était entré en vigueur le 16 octobre 1999, de sorte qu'il était pleinement applicable aux faits soumis, qui s’étaient déroulés en 2016, soit postérieurement. Aucune violation du principe de la légalité ou de l'interdiction de la rétroactivité n'entrait donc en considération. Les critères permettant à l'administré de savoir s'il devait ou non déposer une demande</w:t>
      </w:r>
    </w:p>
    <w:p>
      <w:r>
        <w:t>- 22/29 - A/1694/2024 d'autorisation en vue de l'exécution de travaux avaient été fixés par la jurisprudence bien avant 2016 (ATA/261/2001 du 24 avril 2001). Ils avaient été largement publiés et n'avaient pas été modifiés depuis lors, la multiplication des cas soumis aux juridictions administratives ayant eu pour seul effet une densification de la jurisprudence en la matière. La jurisprudence actuelle n'était manifestement pas différente de celle qui était applicable en 2016, de sorte que son application était conforme au droit. Finalement, le principe de proportionnalité n’intervenait pas dans l'application de l'art. 3 al. 1 let. d et al. 2 LDTR et de la jurisprudence constante y relative, dans la mesure où cette disposition constituait une prescription légale du droit de la construction, applicable à tous les projets de transformation/rénovation (consid. 6). Selon le Tribunal fédéral, était conforme au principe de la légalité la jurisprudence constante retenant que, conformément à la LDTR et à la LCI, parmi les mesures administratives à disposition de l’autorité compétente figure l’ordre de remise en conformité, lequel comprend le remboursement du trop-perçu de loyer et l’établissement d’un nouveau bail conforme aux conditions de l’autorisation de construire accordée. En outre, la répétition de l’indu (art. 63 al. 1 CO par analogie) fait partie de principes généraux du droit administratif, applicable sans base légale expresse, sur le fondement duquel le département pouvait ordonner la restitution de loyers perçus en trop. Dès lors qu’il était établi que les travaux litigieux étaient soumis à autorisation et que le loyer aurait dû être bloqué en conséquence pendant une période de trois ans après leur exécution, l’ordre adressé aux intimés d’établir un nouvel avis de fixation du loyer initial et de rembourser le trop-perçu aux locataires avait pour objectif de rétablir une situation conforme au droit. Cette double mesure, découlant des art. 10 al. 1, 12 et 14 al. 1 LDTR et du principe général de la répétition de l’indu, était en tous points conforme au principe de la légalité. Il n’y avait pas lieu de s’écarter de cette jurisprudence confirmée par la chambre de céans à de nombreuses reprises et par le Tribunal fédéral, faute d’éléments objectifs permettant d’effectuer un tel revirement (consid. 11). Ces griefs étaient ainsi écartés.</w:t>
      </w:r>
    </w:p>
    <w:p>
      <w:r>
        <w:rPr>
          <w:b/>
        </w:rPr>
        <w:t>E. 3.2</w:t>
      </w:r>
    </w:p>
    <w:p>
      <w:r>
        <w:t>Dès lors que les griefs susmentionnés invoqués par l’intimée sont identiques à ceux d’ores et déjà traités par la chambre de céans, validée par le Tribunal fédéral, il n’y a pas lieu de s’en écarter in casu. Par souci d’égalité de traitement, il convient au contraire de s’y référer, de sorte qu’ils doivent également être écartés dans la présente cause, en référence aux considérants susrappelés. S’agissant en particulier de l’ordre adressé à l’intimée d’établir un nouvel avis de fixation du loyer initial et de rembourser le trop-perçu de loyers aux locataires, la décision du département à cet égard est conforme aux considérants qui précèdent, de même qu’à la jurisprudence auxquels ceux-ci se réfèrent.</w:t>
      </w:r>
    </w:p>
    <w:p>
      <w:r>
        <w:t>- 23/29 - A/1694/2024</w:t>
      </w:r>
    </w:p>
    <w:p>
      <w:r>
        <w:rPr>
          <w:b/>
        </w:rPr>
        <w:t>E. 4</w:t>
      </w:r>
    </w:p>
    <w:p>
      <w:r>
        <w:t>Enfin, l’intimée conteste le bien-fondé de l’amende qui lui a été infligée, en l’absence de faute et d’antécédents. Le montant de celle-ci était également disproportionné au vu de la jurisprudence et du maximum légal en la matière ainsi que de l’absence de volonté de ne pas respecter la LDTR et de cupidité.</w:t>
      </w:r>
    </w:p>
    <w:p>
      <w:r>
        <w:rPr>
          <w:b/>
        </w:rPr>
        <w:t>E. 4.1</w:t>
      </w:r>
    </w:p>
    <w:p>
      <w:r>
        <w:t>L’art. 44 al. 1 LDTR prévoit pour celui qui contrevient aux dispositions de la loi des mesures et des sanctions administratives prévues par les art. 129 à 139 LCI.</w:t>
      </w:r>
    </w:p>
    <w:p>
      <w:r>
        <w:rPr>
          <w:b/>
        </w:rPr>
        <w:t>E. 4.2</w:t>
      </w:r>
    </w:p>
    <w:p>
      <w:r>
        <w:t>Aux termes de l’art. 137 LCI, celui qui contrevient à la loi est passible d’une amende de CHF 20'000.- lorsqu’une construction, une installation ou tout autre ouvrage a été entrepris sans autorisation, mais que les travaux sont conformes aux prescriptions légales (al. 1 let. a et al. 2). Il est tenu compte, dans la fixation du montant de l’amende, du degré de gravité de l’infraction. Constituent notamment des circonstances aggravantes l’infraction commise par cupidité et les cas de récidive (al. 3).</w:t>
      </w:r>
    </w:p>
    <w:p>
      <w:r>
        <w:rPr>
          <w:b/>
        </w:rPr>
        <w:t>E. 4.3</w:t>
      </w:r>
    </w:p>
    <w:p>
      <w:r>
        <w:t>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(ATA/159/2021 du</w:t>
      </w:r>
    </w:p>
    <w:p>
      <w:r>
        <w:rPr>
          <w:b/>
        </w:rPr>
        <w:t>E. 4.4</w:t>
      </w:r>
    </w:p>
    <w:p>
      <w:r>
        <w:t>Selon l'art. 13 CP, quiconque agit sous l'influence d'une appréciation erronée des faits est jugé d'après cette appréciation si elle lui est favorable (al. 1). Quiconque pouvait éviter l'erreur en usant des précautions voulues est punissable pour</w:t>
      </w:r>
    </w:p>
    <w:p>
      <w:r>
        <w:t>- 24/29 - A/1694/2024 négligence si la loi réprime son acte comme infraction par négligence (al. 2). Agi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 et al. [éds], Code pénal - Petit commentaire, 2e éd., n. 18 ad art. 13).</w:t>
      </w:r>
    </w:p>
    <w:p>
      <w:r>
        <w:rPr>
          <w:b/>
        </w:rPr>
        <w:t>E. 4.5</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w:t>
      </w:r>
    </w:p>
    <w:p>
      <w:r>
        <w:rPr>
          <w:b/>
        </w:rPr>
        <w:t>E. 4.6</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w:t>
      </w:r>
    </w:p>
    <w:p>
      <w:r>
        <w:t>- 25/29 - A/1694/2024 compte de la capacité financière de la personne sanctionnée (ATA/174/2023 précité consid. 2.1.9 et les références citées). Si les antécédents constituent une circonstance aggravante, l’absence d’antécédents est une circonstance neutre qui n’a pas l’effet de minorer la sanction (ATA/174/2023 précité consid. 2.2.2).</w:t>
      </w:r>
    </w:p>
    <w:p>
      <w:r>
        <w:rPr>
          <w:b/>
        </w:rPr>
        <w:t>E. 4.7</w:t>
      </w:r>
    </w:p>
    <w:p>
      <w:r>
        <w:t>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w:t>
      </w:r>
    </w:p>
    <w:p>
      <w:r>
        <w:rPr>
          <w:b/>
        </w:rPr>
        <w:t>E. 4.8</w:t>
      </w:r>
    </w:p>
    <w:p>
      <w:r>
        <w:t>In casu, l’intimée a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 L’intimée ne saurait raisonnablement se prévaloir du fait qu'elle pouvait, sans demander une autorisation, exécuter les travaux en cause, dans la mesure où, selon sa propre appréciation, il s'agissait de simples travaux d'entretien non soumis à la LDTR. La régie qui la représente ne pouvait ignorer, en tant que professionnelle de l'immobilier, que la distinction entre travaux d'entretien et travaux de transformation était et est toujours délicate à opérer, ni que l'autorité recourante pouvait appliquer un blocage rétroactif des loyers, découlant de la loi et prévu expressément par la jurisprudence depuis l'ATA/774/1999 du 21 décembre 1999 à tout le moins. Dès lors, elle aurait dû se renseigner auprès du département, ce d'autant plus que la nature des travaux, leur ampleur et leurs coûts, pour la plupart probablement devisés, ne permettaient pas d’emblée de retenir de manière évidente qu'il s’agissait de simples travaux d'entretien non soumis à autorisation. En usant des précautions voulues, soit en se renseignant simplement auprès du département, elle aurait pu éviter de commettre les infractions reprochées. Dès lors, son erreur était manifestement évitable, même à considérer qu'elle était persuadée que les travaux n'étaient pas soumis à autorisation. Au vu de ce qui précède, l’intimée a, à tout le moins, agi par négligence et a ainsi commis une faute. On ne saurait retenir qu'elle a agi en fonction d'une appréciation erronée des faits. Une erreur sur l'illicéité est tout autant exclue. L’amende, qui inclut l'infraction à la LCI et à la LDTR, est en conséquence fondée dans son principe.</w:t>
      </w:r>
    </w:p>
    <w:p>
      <w:r>
        <w:t>- 26/29 - A/1694/2024</w:t>
      </w:r>
    </w:p>
    <w:p>
      <w:r>
        <w:rPr>
          <w:b/>
        </w:rPr>
        <w:t>E. 4.8.1</w:t>
      </w:r>
    </w:p>
    <w:p>
      <w:r>
        <w:t>En ce qui concerne son montant, l’autorité l’a arrêté à CHF 16'200.-. Il faut concéder que la décision de l'autorité ne mentionne pas  hormis la gravité objective et subjective de l’infraction commise  les éléments qui ont été pris en compte dans la fixation du montant dans l'amende, ni a fortiori comment ils ont été pondérés, ce qui est regrettable, une motivation permettant d'apprécier au mieux le raisonnement du département. Il peut être retenu comme circonstances aggravantes le fait que l’intimée a perçu des loyers contraires à la LDTR pour un montant de CHF 74'051.- depuis le 1er juin 2020, la différence entre le montant du loyer pratiqué et celui autorisé, de l’ordre de 168%, correspondant par ailleurs, pour la période de contrôle, à plusieurs dizaines de milliers de francs, le fait qu'elle était assistée d'une régie, versée dans l'immobilier, et qu’elle a mis l'autorité devant le fait accompli. À cela s’ajoute qu’avant les travaux de rénovation des pièces humides de l’appartement en 2014/2015, l’appartement n’a fait l’objet que d’un entretien limité, de sorte que les travaux de 2020 ont eu pour but de terminer la rénovation de l’appartement entamée en 2014/2015. L’intimée a ainsi commis une infraction objectivement grave. Aux circonstances aggravantes précitées s'opposent les circonstances atténuantes dont elle se prévaut , en particulier le fait que la violation de la LDTR n'a porté que sur un appartement, qu'elle a déposé une demande d'autorisation pour régulariser la situation, qu'elle a pleinement collaboré après l'ouverture de la procédure administrative et répondu à pleine satisfaction et dans les meilleurs délais aux demandes du département et que les travaux se sont révélés conformes aux prescriptions légales. En revanche, contrairement à ce qu'elle prétend, l'absence d'antécédents n'est pas une circonstance atténuante, mais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et imposée par la loi (art. 22 LPA). Contrairement à ce que soutiennent les intimés, des amendes bien plus élevées que CHF 1'000.- ont déjà été prononcées. Ainsi, le Tribunal fédéral a confirmé une amende de CHF 10'000.- contre un propriétaire ayant rénové sans autorisation un appartement de son immeuble (ATA/668/2022 du 28 juin 2022, confirmé par l’arrêt du Tribunal fédéral 1C_447/2022 du 3 février 2023), une amende de CHF 100'000.- contre un propriétaire ayant rénové plusieurs appartements sans autorisation retenant la cupidité et la récidive, et pour lesquels il a dû rembourser CHF 212'501.- aux locataires (ATA/292/2022 du 22 mars 2022, confirmé par l’arrêt du Tribunal fédéral 1C_264/2022 du 7 mars 2023), et une amende de CHF 15'000.- contre l’architecte d’un propriétaire pour les travaux effectués sans autorisation retenant comme critères notamment sa qualité de professionnel du domaine et de récidiviste</w:t>
      </w:r>
    </w:p>
    <w:p>
      <w:r>
        <w:t>- 27/29 - A/1694/2024 (ATA/706/2022 du 5 juillet 2022 consid. 5, confirmé par arrêt du Tribunal fédéral 1C_468/2022 du 21 avril 2023). En l’occurrence, en comparaison de l’amende de CHF 5'600.- infligée dans le cas d’un appartement de trois pièces ayant subi des travaux devant être soumis à autorisation au sens de la LDTR (ATA/1334/2023 précité), le trop-perçu de loyer est de près de 2,5 fois supérieur à celui dont il était alors question, lequel s’élevait à CHF 28'025.-. Dans la jurisprudence à laquelle l’intimée se réfère, elle omet de prendre en considération le montant du trop-perçu de loyers, de même que la gravité de la faute, se focalisant uniquement sur le montant de l’amende. Or, c’est précisément l’ensemble de ces circonstances, ajoutées au fait que le contrôle du département a pu intervenir sur la base d’une dénonciation de la part des nouveaux locataires, qui doivent être prises en considération. Le montant de CHF 16’200.- apparaît ainsi proportionné aux circonstances du cas d’espèce. Au vu de tout ce qui précède, le département n'a pas abusé de son large pouvoir d'appréciation en fixant l'amende à CHF 16’200.-, l’intimée n'exposant au demeurant pas rencontrer de difficultés financières. En conséquence, le recours du département sera admis, le jugement du TAPI annulé et les décisions du département rétablies. 5. Vu l’issue du litige, un émolument de CHF 2'000.- sera mis à la charge de l’intimée, qui succombe (art. 87 al. 1 LPA). Il ne sera pas alloué d’indemnité de procédure (art. 87 al. 2 LPA).</w:t>
      </w:r>
    </w:p>
    <w:p>
      <w:r>
        <w:t>* * * * *</w:t>
      </w:r>
    </w:p>
    <w:p>
      <w:r>
        <w:t>- 28/29 - A/1694/2024</w:t>
      </w:r>
    </w:p>
    <w:p>
      <w:r>
        <w:rPr>
          <w:b/>
        </w:rPr>
        <w:t>E. 9</w:t>
      </w:r>
    </w:p>
    <w:p>
      <w:r>
        <w:t>février 2021 consid. 7b). En vertu de l’art. 1 let. a de la loi pénale genevoise du 17 novembre 2006 (LPG - 4 05), les dispositions de la partie générale du code pénal suisse du 21 décembre 1937 (CP - RS 311.0) s’appliquent à titre de droit cantonal supplétif (ATA/440/2019 du 16 avril 2019 consid. 5c).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proportionnalité.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