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ATA/876/2023 vom 22. August 2023</w:t>
      </w:r>
    </w:p>
    <w:p>
      <w:r>
        <w:t>GE Cour de justice, 2023-08-22, FR</w:t>
      </w:r>
    </w:p>
    <w:p>
      <w:r>
        <w:rPr>
          <w:b/>
        </w:rPr>
        <w:t xml:space="preserve">Quelle: </w:t>
      </w:r>
      <w:r>
        <w:t>https://mcp.opencaselaw.ch/entscheid/ge_gerichte_ATA_876_2023</w:t>
      </w:r>
    </w:p>
    <w:p>
      <w:r>
        <w:t>FR: GE_GERICHTE ATA/876/2023 du 22 août 2023</w:t>
      </w:r>
    </w:p>
    <w:p>
      <w:r>
        <w:t>IT: GE_GERICHTE ATA/876/2023 del 22 agosto 2023</w:t>
      </w:r>
    </w:p>
    <w:p>
      <w:pPr>
        <w:pStyle w:val="Heading2"/>
      </w:pPr>
      <w:r>
        <w:t>Erwägungen</w:t>
      </w:r>
    </w:p>
    <w:p>
      <w:r>
        <w:rPr>
          <w:b/>
        </w:rPr>
        <w:t>E. 1</w:t>
      </w:r>
    </w:p>
    <w:p>
      <w:r>
        <w:t>La chambre de céans examine d'office la recevabilité des recours qui lui sont soumis (art. 11 al. 2 de la loi sur la procédure administrative du 12 septembre 1985 - LPA - E 5 10 ; ATA/646/2023 du 20 juin 2023 consid. 1 ; ATA/583/2023 du 5 juin 2023 consid. 1).</w:t>
      </w:r>
    </w:p>
    <w:p>
      <w:r>
        <w:rPr>
          <w:b/>
        </w:rPr>
        <w:t>E. 2</w:t>
      </w:r>
    </w:p>
    <w:p>
      <w:r>
        <w:t>L'acte du recourant du 12 juin 2023 été adressé comme pourvoi en cassation à la Cour de cassation ; le TAPI, à qui il a été acheminé, l'a considéré comme une demande en révision.</w:t>
      </w:r>
    </w:p>
    <w:p>
      <w:r>
        <w:rPr>
          <w:b/>
        </w:rPr>
        <w:t>E. 2.1</w:t>
      </w:r>
    </w:p>
    <w:p>
      <w:r>
        <w:t>Dans l'organisation judiciaire genevoise antérieure au 1er janvier 2011, la Cour de cassation connaissait des pourvois en cassation et en révision en matière pénale (art. 52 de la loi sur l'organisation judiciaire du 2 novembre 1941 - aLOJ), pourvois qui pouvaient être interjetés contre les ordonnances de non-lieu, les jugements rendus en dernier ressort par le Tribunal de police et les arrêts de la Cour correctionnelle et de la Cour d'assises (art. 339 al. 1 du code de procédure pénale genevois du 29 septembre 1977 – CPP-GE). La Cour de cassation n'existe plus depuis le 1er janvier 2011, à la suite de l'entrée en vigueur du code de procédure pénale suisse du 5 octobre 2007 (CPP - RS 312.0) et de la loi sur l’organisation judiciaire du 26 septembre 2010</w:t>
      </w:r>
    </w:p>
    <w:p>
      <w:r>
        <w:t>- 6/10 - A/2116/2023 (LOJ - E 2 05). L'aLOJ et le CPP-GE ont en effet été abrogés (art. 141 let. a LOJ ; art. 86 let. b de la loi d’application du code pénal suisse et d’autres lois fédérales en matière pénale du 27 août 2009 - LaCP - E 4 10).</w:t>
      </w:r>
    </w:p>
    <w:p>
      <w:r>
        <w:rPr>
          <w:b/>
        </w:rPr>
        <w:t>E. 2.2</w:t>
      </w:r>
    </w:p>
    <w:p>
      <w:r>
        <w:t>Selon l’art. 80 let. b LPA, il y a lieu à révision lorsque des faits ou des moyens de preuve nouveaux et importants existent, que le recourant ne pouvait connaître ou invoquer dans la procédure précédente. La demande de révision doit être adressée par écrit à la juridiction qui a rendu la décision dans les trois mois dès la découverte du motif de révision (art. 81 al. 1 LPA) et au plus tard dans les dix ans à compter de la notification de la décision. Le cas de révision de l’art. 80 let. a LPA est réservé. Dans ce cas, la révision peut avoir lieu d’office, notamment sur communication du Ministère public (art. 81 al. 2 LPA). Les art. 64 et 65 LPA sont applicables par analogie. La demande doit, en particulier, indiquer le motif de révision et contenir les conclusions du requérant pour le cas où la révision serait admise et une nouvelle décision prise (art. 81 al. 3 LPA).</w:t>
      </w:r>
    </w:p>
    <w:p>
      <w:r>
        <w:rPr>
          <w:b/>
        </w:rPr>
        <w:t>E. 2.3</w:t>
      </w:r>
    </w:p>
    <w:p>
      <w:r>
        <w:t>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Une révision est également possible lorsqu'un crime ou un délit, établi par une procédure pénale ou d’une autre manière, a influencé la décision (art. 80 let. a LPA), que, par inadvertance, la décision ne tient pas compte de faits invoqués et établis par pièce (let. c), que la juridiction n’a pas statué sur certaines conclusions des parties de manière à commettre un déni de justice formel (let. d), ou encore que la juridiction qui a statué n’était pas composée comme la loi l’ordonne ou que les dispositions sur la récusation ont été violées (let. e). Les motifs de révision prévus par l'art. 80 LPA sont exhaustifs.</w:t>
      </w:r>
    </w:p>
    <w:p>
      <w:r>
        <w:rPr>
          <w:b/>
        </w:rPr>
        <w:t>E. 2.4</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w:t>
      </w:r>
    </w:p>
    <w:p>
      <w:r>
        <w:t>- 7/10 - A/2116/2023 invoqués dans la procédure ordinaire (ATA/478/2021 du 4 mai 2021 consid. 2b ; ATA/362/2018 précité consid. 1d et les références citées). Lorsqu'aucune condition de l'art. 80 LPA n'est remplie, la demande est déclarée irrecevable (ATA/693/2023 du 27 juin 2023 consid. 2.4 ; ATA/232/2022 du 1er mars 2022 ; ATA/1748/2019 du 3 décembre 2019).</w:t>
      </w:r>
    </w:p>
    <w:p>
      <w:r>
        <w:rPr>
          <w:b/>
        </w:rPr>
        <w:t>E. 2.5</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(ATA/1620/2019 du</w:t>
      </w:r>
    </w:p>
    <w:p>
      <w:r>
        <w:rPr>
          <w:b/>
        </w:rPr>
        <w:t>E. 2.6</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w:t>
      </w:r>
    </w:p>
    <w:p>
      <w:r>
        <w:t>- 8/10 - A/2116/2023 constitue pas un moyen de réparer une erreur de droit ou une omission dans une précédente procédure (ATF 111 Ib 211).</w:t>
      </w:r>
    </w:p>
    <w:p>
      <w:r>
        <w:rPr>
          <w:b/>
        </w:rPr>
        <w:t>E. 2.7</w:t>
      </w:r>
    </w:p>
    <w:p>
      <w:r>
        <w:t>En l'espèce, le « pourvoi en cassation » adressé par le recourant à une juridiction uniquement compétente en matière pénale et qui n'existe plus depuis douze ans est en tant que tel irrecevable. Compris en tant que demande de révision, comme l'a fait le TAPI, il est aussi irrecevable. En effet, l'arrêt du 14 mars 2023 de la chambre de céans ne portait que sur l'irrecevabilité du recours au TAPI pour non-paiement de l'avance de frais. Or, le seul élément avancé par le demandeur serait un problème de « chronologie des courriers », car il aurait « reçu le courrier du TAPI par la poste alors même que sa demande d'AJ n'avait pu être prise en considération ». On ne perçoit pourtant aucun problème de chronologie dans les faits, puisque le refus d'AJ a été confirmé par la vice-présidence de la Cour de justice le 20 octobre 2022, que le TAPI a dès lors réécrit au demandeur le 7 décembre 2022 – soit après l'expiration du délai de recours au Tribunal fédéral – pour procéder à l'avance de frais au plus tard le 9 janvier 2023, et qu'il a rendu un jugement d'irrecevabilité le 23 janvier 2023. Pour le surplus, le demandeur ne fait valoir ni fait nouveau « ancien », ni aucune circonstance au sens de l'art. 80 LPA. Dès lors, son « pourvoi », même compris comme une demande de révision, est irrecevable. Il ne peut enfin pas être compris comme une demande de réexamen ou de nouvelle autorisation, d'une part car il a été adressé à une autorité judiciaire et non à l'OCPM, et d'autre part car il ne contient pas non plus, sur la question de la situation de droit des étrangers, de circonstance nouvelle. Il n'y a donc pas lieu de transmettre comme tel cet acte à l'autorité intimée, étant rappelé que la possibilité de demander la reconsidération ne doit pas permettre de remettre continuellement en cause des décisions entrées en force et d'éluder les dispositions légales sur les délais de recours. L'acte du 12 juin 2023 transmis à la chambre de céans est ainsi, en toute hypothèse, irrecevable, ce qui sera constaté sans autre acte d'instruction, conformément à l'art. 72 LPA. Le prononcé du présent arrêt rend en outre sans objet la demande d'effet suspensif. Le demandeur est en outre informé que toute nouvelle demande de révision ou de reconsidération déposée sans motifs sera classée sans suite. 3. Vu les circonstances d'espèce, il ne sera pas perçu d'émolument (art. 87 al. 1 LPA), et vu l'issue du litige il ne sera pas alloué d'indemnité de procédure (art. 87 al. 2 LPA). * * * * *</w:t>
      </w:r>
    </w:p>
    <w:p>
      <w:r>
        <w:t>- 9/10 - A/2116/2023</w:t>
      </w:r>
    </w:p>
    <w:p>
      <w:r>
        <w:rPr>
          <w:b/>
        </w:rPr>
        <w:t>E. 5</w:t>
      </w:r>
    </w:p>
    <w:p>
      <w:r>
        <w:t>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ATA/1244/2019 du 13 août 2019 consid. 5 ; ATA/830/2016 du 4 octobre 2016 consid. 2a).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ATA/632/2023 du 13 juin 2023 consid. 2.3 ; ATA/1098/2022 du 1er novembre 2022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