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ATA/873/2025 vom 19. August 2025</w:t>
      </w:r>
    </w:p>
    <w:p>
      <w:r>
        <w:t>GE Cour de justice, 2025-08-19, FR</w:t>
      </w:r>
    </w:p>
    <w:p>
      <w:r>
        <w:rPr>
          <w:b/>
        </w:rPr>
        <w:t xml:space="preserve">Quelle: </w:t>
      </w:r>
      <w:r>
        <w:t>https://mcp.opencaselaw.ch/entscheid/ge_gerichte_ATA_873_2025</w:t>
      </w:r>
    </w:p>
    <w:p>
      <w:r>
        <w:t>FR: GE_GERICHTE ATA/873/2025 du 19 août 2025</w:t>
      </w:r>
    </w:p>
    <w:p>
      <w:r>
        <w:t>IT: GE_GERICHTE ATA/873/2025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- 12/31 - A/277/2025</w:t>
      </w:r>
    </w:p>
    <w:p>
      <w:r>
        <w:rPr>
          <w:b/>
        </w:rPr>
        <w:t>E. 2</w:t>
      </w:r>
    </w:p>
    <w:p>
      <w:r>
        <w:t>La chambre de céans examine d’office si la prescription de l’action disciplinaire est atteinte.</w:t>
      </w:r>
    </w:p>
    <w:p>
      <w:r>
        <w:rPr>
          <w:b/>
        </w:rPr>
        <w:t>E. 2.1</w:t>
      </w:r>
    </w:p>
    <w:p>
      <w:r>
        <w:t>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L’autorité de surveillance peut tenir compte de faits prescrits pour évaluer les risques auxquels la santé publique est exposée en raison du comportement d’une personne qui fait l’objet d’une procédure disciplinaire (al. 5).</w:t>
      </w:r>
    </w:p>
    <w:p>
      <w:r>
        <w:rPr>
          <w:b/>
        </w:rPr>
        <w:t>E. 2.2</w:t>
      </w:r>
    </w:p>
    <w:p>
      <w:r>
        <w:t>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w:t>
      </w:r>
    </w:p>
    <w:p>
      <w:r>
        <w:rPr>
          <w:b/>
        </w:rPr>
        <w:t>E. 2.3</w:t>
      </w:r>
    </w:p>
    <w:p>
      <w:r>
        <w:t>En l’espèce, les délais, absolu, de dix ans depuis les faits, et relatif, de deux ans entre chaque acte d’instruction ou procédural de la commission, ont été respectés, de sorte que la prescription de l’action disciplinaire n’est pas atteinte.</w:t>
      </w:r>
    </w:p>
    <w:p>
      <w:r>
        <w:rPr>
          <w:b/>
        </w:rPr>
        <w:t>E. 3</w:t>
      </w:r>
    </w:p>
    <w:p>
      <w:r>
        <w:t>À titre préalable, la recourante conclut à sa comparution personnelle.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3.2</w:t>
      </w:r>
    </w:p>
    <w:p>
      <w:r>
        <w:t>En l’espèce, la recourante a eu l’occasion de se déterminer par écrit et de produire toute pièce utile à plusieurs reprises devant la commission puis la chambre de céans. Elle n’expose pas sur quels faits elle devrait être entendue ni quels éléments utiles à la solution du litige qu’elle n’aurait pu produire par écrit son audition pourrait apporter. La chambre de céans dispose d’un dossier complet et la cause est en état d’être jugée. Il ne sera pas donné suite à la demande d’acte d’instruction.</w:t>
      </w:r>
    </w:p>
    <w:p>
      <w:r>
        <w:rPr>
          <w:b/>
        </w:rPr>
        <w:t>E. 4</w:t>
      </w:r>
    </w:p>
    <w:p>
      <w:r>
        <w:t>octobre 2022 consid. 5b ; ATA/941/2021 du 14 septembre 2021 consid. 7d et les références citées).</w:t>
      </w:r>
    </w:p>
    <w:p>
      <w:r>
        <w:t>- 15/31 - A/277/2025</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4.2</w:t>
      </w:r>
    </w:p>
    <w:p>
      <w:r>
        <w:t>Se pose en premier lieu la question du droit applicable.</w:t>
      </w:r>
    </w:p>
    <w:p>
      <w:r>
        <w:rPr>
          <w:b/>
        </w:rPr>
        <w:t>E. 4.2.1</w:t>
      </w:r>
    </w:p>
    <w:p>
      <w:r>
        <w:t>Le 1er septembre 2007 est entrée en vigueur la LPMéd. Certains des articles de cette loi ont fait l’objet d’une modification entrée en vigueur le 1er janvier 2018, le 1er février 2020, ainsi que le 1er janvier 2022. Toutefois, ces modifications n’ont pas d’effet sur le présent litige, si bien que c’est la LPMéd dans sa teneur la plus récente qui sera exposée ci-dessous.</w:t>
      </w:r>
    </w:p>
    <w:p>
      <w:r>
        <w:t>- 14/31 - A/277/2025</w:t>
      </w:r>
    </w:p>
    <w:p>
      <w:r>
        <w:rPr>
          <w:b/>
        </w:rPr>
        <w:t>E. 4.2.2</w:t>
      </w:r>
    </w:p>
    <w:p>
      <w:r>
        <w:t>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LS (arrêt du Tribunal fédéral 2C_759/2022 du 13 décembre 2022 consid. 3 ; ATF 148 I 1 consid. 5 ; Yves DONZALLAZ, Traité de doit médical, volume II, 2021, n° 4'957).</w:t>
      </w:r>
    </w:p>
    <w:p>
      <w:r>
        <w:rPr>
          <w:b/>
        </w:rPr>
        <w:t>E. 4.2.3</w:t>
      </w:r>
    </w:p>
    <w:p>
      <w:r>
        <w:t>Dans un autre arrêt, le Tribunal fédéral a cependant précisé que les art. 40 let. a LPMéd et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(ATF 149 II 109 consid. 7.3.1). Au surplus, l'art. 80 LS dans son ancienne teneur prévoit que les devoirs professionnels énoncés par l'art. 40 LPMéd s'appliquent à tous les professionnels de la santé.</w:t>
      </w:r>
    </w:p>
    <w:p>
      <w:r>
        <w:rPr>
          <w:b/>
        </w:rPr>
        <w:t>E. 4.2.4</w:t>
      </w:r>
    </w:p>
    <w:p>
      <w:r>
        <w:t>En l’espèce, la recourante a indiqué exercer en qualité d’indépendante, ce que l’intimée n’a pas contesté. Il suit de là que la cause sera examinée à l’aune de la LPMéd et du droit cantonal.</w:t>
      </w:r>
    </w:p>
    <w:p>
      <w:r>
        <w:rPr>
          <w:b/>
        </w:rPr>
        <w:t>E. 4.3</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L'art. 40 LPMéd prévoit que les personnes exerçant une profession médicale universitaire à titre d'activité économique privée sous leur propre responsabilité professionnelle doivent notamment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(d) s’abstenir de toute publicité qui n’est pas objective et qui ne répond pas à l’intérêt général ; cette publicité ne doit en outre ni induire en erreur ni importuner. L’art. 40 let. a LPMéd constitue une clause générale (FF 2005 p. 211).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(ATA/987/2022 du</w:t>
      </w:r>
    </w:p>
    <w:p>
      <w:r>
        <w:rPr>
          <w:b/>
        </w:rPr>
        <w:t>E. 4.4</w:t>
      </w:r>
    </w:p>
    <w:p>
      <w:r>
        <w:t>Au niveau cantonal, les droits et devoirs des professionnels de la santé sont traités dans la LS, qui s’applique à tous les professionnels de la santé (art. 71 et 78 LS), notamment les personnes exerçant la profession médicale universitaire de médecin (art. 1 al. 1 let. a du règlement sur les professions de la santé du 30 mai 2018 - RPS - K 3 02.01).</w:t>
      </w:r>
    </w:p>
    <w:p>
      <w:r>
        <w:rPr>
          <w:b/>
        </w:rPr>
        <w:t>E. 4.5</w:t>
      </w:r>
    </w:p>
    <w:p>
      <w:r>
        <w:t>Une refonte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(ATA/941/2021 précité consid. 7c).</w:t>
      </w:r>
    </w:p>
    <w:p>
      <w:r>
        <w:rPr>
          <w:b/>
        </w:rPr>
        <w:t>E. 4.6</w:t>
      </w:r>
    </w:p>
    <w:p>
      <w:r>
        <w:t>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Cst.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w:t>
      </w:r>
    </w:p>
    <w:p>
      <w:r>
        <w:rPr>
          <w:b/>
        </w:rPr>
        <w:t>E. 4.7</w:t>
      </w:r>
    </w:p>
    <w:p>
      <w:r>
        <w:t>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w:t>
      </w:r>
    </w:p>
    <w:p>
      <w:r>
        <w:rPr>
          <w:b/>
        </w:rPr>
        <w:t>E. 4.8</w:t>
      </w:r>
    </w:p>
    <w:p>
      <w:r>
        <w:t>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w:t>
      </w:r>
    </w:p>
    <w:p>
      <w:r>
        <w:t>- 16/31 - A/277/2025 patients, à l’exception des risques atypiques et inhabituels ainsi que ceux inhérents à toute intervention médicale (ATA/1084/2022 du 1er novembre 2022 consid. 6b ; ATA/916/2018 du 11 septembre 2018 consid. 4d et les références citées).</w:t>
      </w:r>
    </w:p>
    <w:p>
      <w:r>
        <w:rPr>
          <w:b/>
        </w:rPr>
        <w:t>E. 4.9</w:t>
      </w:r>
    </w:p>
    <w:p>
      <w:r>
        <w:t>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95 (1996), n. 67 p. 205 : risque d'attaque cérébrale ; ATA/8/2018 du 9 janvier 2018).</w:t>
      </w:r>
    </w:p>
    <w:p>
      <w:r>
        <w:rPr>
          <w:b/>
        </w:rPr>
        <w:t>E. 4.10</w:t>
      </w:r>
    </w:p>
    <w:p>
      <w:r>
        <w:t>Selon le Tribunal fédéral,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Il appartient au médecin d'établir qu'il a suffisamment renseigné le patient et obtenu le consentement éclairé de ce dernier préalablement à l'intervention. 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que</w:t>
      </w:r>
    </w:p>
    <w:p>
      <w:r>
        <w:t>- 17/31 - A/277/2025 le médecin n'a pas satisfait. Dans un tel cas, il est en effet plausible que le patient, s'il avait reçu une information complète, se serait trouvé dans un réel conflit quant à la décision à prendre et qu'il aurait sollicité un temps de réflexion (arrêt du Tribunal fédéral 4A_585/2021 du 8 juin 2022 consid. 4 et les références citées).</w:t>
      </w:r>
    </w:p>
    <w:p>
      <w:r>
        <w:rPr>
          <w:b/>
        </w:rPr>
        <w:t>E. 4.11</w:t>
      </w:r>
    </w:p>
    <w:p>
      <w:r>
        <w:t>S’agissant du devoir d’information en matière de chirurgie esthétique, la doctrine relève que la chirurgie esthétique, dont le seul objectif est l’amélioration de la beauté et de l’apparence, relève davantage de la médecine de convenance que de la médecine de nécessité et que la décision est plus subjective et personnelle que thérapeutique (Yves DONZALLAZ, op. cit., n. 3828). Moins l’opération est nécessaire plus l’information doit être étendue et plus le devoir d’information est strict. Ainsi, pour une opération de chirurgie esthétique ou pour une intervention dans le cadre d’une recherche, l’information sur les risques doit être complète (Coralie DEVAUD, L’information en droit médical, 2009, p. 85-86 ; Dominique MANAÏ, Droits du patient et biomédecine, 2013, p. 88 ; Dominique MANAÏ, Le devoir d’information du médecin en procès, SJ 2000 pp. 349-350). Face à la pesée des bénéfices et risques par rapport à l’intervention à l’origine de la lésion, la mise en balance se fait plus facilement s’il s’agit d’examiner la validité du consentement à l’amputation d’un membre irrémédiablement gangréné que pour une opération de chirurgie esthétique (Camille PERRIER DEPEURSINGE/Marie PITTET, Le consentement du lésé en droit pénal suisse, PJA 2021 pp. 805-806).</w:t>
      </w:r>
    </w:p>
    <w:p>
      <w:r>
        <w:rPr>
          <w:b/>
        </w:rPr>
        <w:t>E. 4.12</w:t>
      </w:r>
    </w:p>
    <w:p>
      <w:r>
        <w:t>Dans une espèce concernant les conséquences d’une liposuccion, soit une cicatrisation qui s’était mal déroulée, la chambre de céans a confirmé en 2014 le manquement et la sanction prononcée contre un chirurgien au motif que celui-ci, parce qu’il pratiquait une intervention de chirurgie esthétique, avait un devoir accru d’information à l’égard de sa patiente, lequel allait en l’espèce jusqu’à l’évocation des risques en matière de cicatrisation ordinairement associés à une reprise trop hâtive du tabagisme, devoir qu’il n’établissait pas avoir respecté (ATA/610/2014 du 20 juillet 2014 consid. 11). Le même raisonnement a été tenu par la Cour de justice civile, qui a jugé, dans un cas d’opération d’orthodontie, que moins une intervention était nécessaire – par exemple une chirurgie esthétique – plus l'information devait être étendue, et qu’en l’espèce le médecin dentiste n’avait pas informé la patiente de tous les risques (ACJC/1810 /2018 du 18 décembre 2018 consid. 5.1.2) et que celle-ci, compte tenu du caractère purement esthétique de l’opération et de sa nature hypervigilante, se serait très vraisemblablement abstenue de tout traitement si elle avait eu conscience de la possibilité d’un limage excessif ou d’une sensibilité de ses dents (ACJC/1810 /2018 précité consid. 5.2.1).</w:t>
      </w:r>
    </w:p>
    <w:p>
      <w:r>
        <w:rPr>
          <w:b/>
        </w:rPr>
        <w:t>E. 4.13</w:t>
      </w:r>
    </w:p>
    <w:p>
      <w:r>
        <w:t>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w:t>
      </w:r>
    </w:p>
    <w:p>
      <w:r>
        <w:t>- 18/31 - A/277/2025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Le dossier médical doit être constitué dès la première consultation (ATA/1147/2022 du 15 novembre 2022 consid. 8), il doit être complet (ATA/752/2022 du 26 juillet 2022 consid. 5d), comporter la totalité des documents relatifs au suivi du patient (ATA/1084/2022 précité consid. 8), la mention des examens accomplis et les images ou leur description (ATA/1300/2021 précité consid. 11f), les notes de suite ne devant pas être trop succinctes, de manière à assurer un suivi adéquat (ATA/830/2022 du 23 août 2022 consid. 13e).</w:t>
      </w:r>
    </w:p>
    <w:p>
      <w:r>
        <w:rPr>
          <w:b/>
        </w:rPr>
        <w:t>E. 4.14</w:t>
      </w:r>
    </w:p>
    <w:p>
      <w:r>
        <w:t>Selon l’art. 87 LS, les professionnels de la santé inscrits dans les registres sont autorisés à faire paraître les annonces nécessaires à leur fonctionnement dans les limites définies, par voie réglementaire, par le Conseil d’État après consultation des associations professionnelles concernées.</w:t>
      </w:r>
    </w:p>
    <w:p>
      <w:r>
        <w:rPr>
          <w:b/>
        </w:rPr>
        <w:t>E. 4.14.1</w:t>
      </w:r>
    </w:p>
    <w:p>
      <w:r>
        <w:t>Par publicité, on entend les annonces ou réclames parues dans les médias ou faites par voie d’enseignes, d’affiches, de prospectus, de circulaires, de communiqués, d’articles de conférence ou d’autres moyens analogues (art. 13 al. 1 RPS). L’art. 14 RPS a trait au contenu autorisé. Ainsi, toute publicité doit faire mention des titres ou statuts tels qu’ils figurent dans les autorisations. Les publicités peuvent en outre faire état des spécialisations et titres admis au niveau fédéral (al. 1). Les informations diffusées, qui peuvent porter sur les prestations offertes, l’affiliation à des associations ou les heures d’ouverture, doivent être objectives (al. 2). Les professionnels de la santé peuvent faire état de leur parcours professionnel au sein des centres de formation reconnus de leur profession et des institutions autorisées par les autorités (al. 3). Après consultation des associations concernées, la direction générale de la santé peut régler par directives les aspects propres à certaines professions de la santé (al. 4). L’art. 15 RPS précise que tout autre contenu et toute publicité mensongère, trompeuse ou qui encourage une surconsommation médicale, sont interdits.</w:t>
      </w:r>
    </w:p>
    <w:p>
      <w:r>
        <w:rPr>
          <w:b/>
        </w:rPr>
        <w:t>E. 4.14.2</w:t>
      </w:r>
    </w:p>
    <w:p>
      <w:r>
        <w:t>La loi fédérale du 30 septembre 2016 sur les professions de la santé (LPSan - RS 811.21), ainsi que la loi fédérale du 18 mars 2011 sur les professions relevant du domaine de la psychologie (loi sur les professions de la psychologie, LPsy - RS 935.81) contiennent des dispositions similaires à l'art. 40 let. d LPMéd (art. 16 let. e LPSan et 27 let. d LPsy). Quant aux art. 32 de la loi fédérale du 15 décembre 2000 sur les médicaments et les dispositifs médicaux (loi sur les produits thérapeutiques, LPTh - RS 812.21) et 69 de l'ordonnance du 17 octobre 2001 sur les dispositifs médicaux (ODim - RS 812.213), ils limitent la publicité dans ces domaines en déclarant illicite certains types de publicité. L’art. 69 al. 3 ODim prévoit ainsi qu’il est interdit de faire de la publicité auprès du public</w:t>
      </w:r>
    </w:p>
    <w:p>
      <w:r>
        <w:t>- 19/31 - A/277/2025 pour les dispositifs destinés à être utilisés uniquement par des professionnels de la santé. L'ordonnance fédérale du 17 octobre 2001 sur la publicité pour les médicaments (OPuM - RS 812.212.5) règlemente pour sa part la publicité destinée d'une part aux professionnels et d'autre part au public pour les médicaments prêts à l'emploi (médicaments) à usage humain ou vétérinaire.</w:t>
      </w:r>
    </w:p>
    <w:p>
      <w:r>
        <w:rPr>
          <w:b/>
        </w:rPr>
        <w:t>E. 4.14.3</w:t>
      </w:r>
    </w:p>
    <w:p>
      <w:r>
        <w:t>Selon l’art. 20 du code de déontologie de la FMH du 12 décembre 1996, dans son état au 8 juin 2023 (www.siwf.ch/files/pdf29/code_de_deontologie_2023- 11.pdf), dans la publication de ses qualifications professionnelles ou dans toute information le concernant, à l’intention des patients ou de ses confrères, le médecin fait usage de réserve et de modestie ; dans son activité professionnelle, le médecin se garde de recourir à une publicité non objective, mensongère ou qui pourrait nuire à la réputation de la profession médicale ; le médecin s’engage à éviter qu’une publicité illicite soit faite en sa faveur par des tiers, de manière directe ou indirecte.</w:t>
      </w:r>
    </w:p>
    <w:p>
      <w:r>
        <w:rPr>
          <w:b/>
        </w:rPr>
        <w:t>E. 4.14.4</w:t>
      </w:r>
    </w:p>
    <w:p>
      <w:r>
        <w:t>Selon le ch. 1.1 de l’annexe 2 de ce code (www.fmh.ch/files/pdf29/anhang- 2---fr---2023-11.pdf) valant directive pour l’information et la publicité, l’information du public est considérée comme nécessaire lorsqu’elle facilite le choix du médecin approprié. Cette information consiste à indiquer : les qualifications professionnelles ; la carrière professionnelle, l’âge, les connaissances linguistiques ; les visites à domicile, l’accueil de nouveaux patients, les horaires de consultation ; les formes de collaboration ou la désignation de partenaires (par exemple cabinet de groupe réunissant des médecins et/ou d’autres membres de professions médicales, fonction de médecin agréé, de médecin-chef, rapports contractuels avec un assureur dans le cadre de formes particulières d’assurance) ; l’offre de prestations personnelles (par exemple physiothérapie, propharmacie, opérations effectuées au cabinet, imagerie médicale) ; l’affiliation à des associations médicales. Selon le ch. 2.3, l’information nuit à la réputation de la profession médicale, en particulier lorsqu’elle : établit des comparaisons discréditant des confrères, rabaissant par exemple leur activité ou leurs méthodes médicales ; contient des recommandations émanant de patients ; relève de l’autopromotion ou présente l’activité médicale propre dans un style ouvertement publicitaire, appuyé et tapageur ; éveille dans le public des espoirs insensés ou de nature à fausser le jugement ; manque de sérieux ou est contraire à la dignité ou aux bonnes mœurs ; recherche principalement à produire un effet publicitaire. Selon le ch. 3.5, la création et la gestion de sites internet professionnels sont autorisées à condition que les prescriptions des ch. 1 et 2 soient respectées. Des contributions spécialisées, des articles de presse ou des communiqués aux médias peuvent être publiés sur le site internet, pour autant qu’ils aient un lien avec l’activité médicale. Les sociétés cantonales de médecine peuvent édicter des prescriptions complémentaires (notamment sur le graphisme, le contenu et le nom de domaine des sites internet).</w:t>
      </w:r>
    </w:p>
    <w:p>
      <w:r>
        <w:t>- 20/31 - A/277/2025 Selon le ch. 3.6, la présence sur les réseaux sociaux est autorisée. L’activité privée doit être séparée de l’activité professionnelle, particulièrement en ce qui concerne la communication avec les patients. Le secret médical doit être respecté en tout temps. Les prescriptions relatives à la collégialité et aux critiques inadmissibles s’appliquent également aux activités sur les réseaux sociaux et internet. Il convient de veiller à une communication professionnelle respectueuse et objective. Le ch. 3.5 s’applique aussi à l’activité des médecins sur les réseaux sociaux. Les sociétés cantonales de médecine peuvent édicter des prescriptions complémentaires. Selon le ch. 3.7, sous la note marginale « annuaires publics, moteurs de recherche et plateformes numériques d’évaluation », les informations selon le ch. 1 peuvent être communiquées pour faire connaître l’activité médicale dans des annuaires d’adresses et des annuaires téléphoniques officiels ou privés, y compris dans des annuaires numériques. Si un annuaire officiel contient une rubrique « médecins », les médecins sont autorisés à s’inscrire sous cette rubrique. Il est interdit d’influencer des patients ou des tiers afin d’obtenir des évaluations ou commentaires positifs ou négatifs. Les prescriptions des ch. 3.5 et 3.6 s’appliquent également aux annuaires publics, aux moteurs de recherche et aux plateformes numériques. Les sociétés cantonales de médecine peuvent édicter des prescriptions complémentaires. Les recommandations de la FMH servent de guide en matière de gestion des évaluations en ligne et des moteurs de recherche.</w:t>
      </w:r>
    </w:p>
    <w:p>
      <w:r>
        <w:rPr>
          <w:b/>
        </w:rPr>
        <w:t>E. 4.14.5</w:t>
      </w:r>
    </w:p>
    <w:p>
      <w:r>
        <w:t>Dans une affaire belge, la Cour européenne des droits de l’homme, examinant l’intérêt public à une ingérence dans le droit du médecin à recourir à la publicité, a indiqué qu’elle n’avait pas lieu de douter que l’ingérence visait en l’occurrence à protéger la santé publique et les droits d’autrui ; l’exercice de la médecine ne pouvait être assimilé à une activité commerciale qui, elle, obéissait à des règles qui lui étaient propres ; la mission du médecin était d’une autre nature : il participait à la préservation de la santé publique et il assumait des devoirs spécifiques envers la collectivité (ACEDH Villnow c. Belgique du 29 janvier 2008, req. 16938/05 § 3). Le Tribunal fédéral a indiqué qu’il ressort très clairement de la législation fédérale suscitée que le législateur reconnaît certaines spécificités au domaine médical en matière de publicité. Celle-ci n'est admise que de manière restrictive (arrêt du Tribunal fédéral 2C_901/2019 du 25 août 2020 consid. 4.4.4). Selon la doctrine, il est traditionnellement admis que les membres des professions médicales ne doivent pas attirer leurs clients par la publicité ; le médecin ne doit faire aucune sollicitation de clientèle, le rabattage de patients étant interdit. Est considéré comme tel toute sollicitation directe des patients par offres et/ou promesses de prestations, ou indirecte par incitation du patient à demander des prestations (Yves DONZALLAZ, op. cit., volume II, n° 5522 et les références citées).</w:t>
      </w:r>
    </w:p>
    <w:p>
      <w:r>
        <w:t>- 21/31 - A/277/2025 La limitation de la publicité dans le domaine de la santé a notamment pour objectif que les patients évitent des traitements médicaux inutiles ou inadéquats ou encore qu'on leur promette la guérison (Dominique SPRUMONT/Jean-Marc GUINCHARD/Deborah SCHORNO, in Ariane AYER/Ueli KIESER/Thomas POLEDNA/Dominique SPRUMONT, LPMéd, Commentaire, 2009, n. 108 ad art. 40 ; arrêt du Tribunal administratif du Canton de Saint-Gall B 2017/99 du 17 janvier 2019 in Entscheide des Kantons- und Verwaltungsgerichts des Kantons St. Gallen, consid. 2.3.4). La limitation de la publicité des établissements sanitaires ne vise donc pas uniquement à éviter la surconsommation de prestations médicales dans le but de limiter les coûts à la charge des collectivités publiques et des assurés, mais aussi à protéger de manière générale la santé publique dès lors que le fait de recevoir des traitements inadéquats ou de croire en vain à la guérison n'est pas dans l'intérêt des patients (arrêt de la cour de droit administratif et public du Tribunal cantonal vaudois GE.2019.0021 du 24 septembre 2019 consid. 3c). Il est en outre important que les patients conservent une grande confiance dans le monde médical et que celle-ci ne soit pas émaillée par le comportement commercial, voire mercantile, de certains de ses membres, dévalorisant tel ou tel confrère, vantant au contraire des résultats de traitements ou recourant à toute méthode publicitaire agressive. Cette restriction vaut tant sur la forme des moyens choisis que sur le fond de l’information (Yves DONZALLAZ, op. cit., n° 5525). Comme c'est le cas pour la publicité des avocats, la notion d'objectivité porte en elle cette injonction de retenue dont le non-respect est de nature à porter atteinte à la dignité de la profession. Cette obligation de retenue s'applique tant au contenu qu'aux formes et méthodes de la publicité (ATF 139 II 173 consid. 6.2.2 ; arrêt du Tribunal fédéral 2C_259/2014 du 10 novembre 2014 consid. 2.3.1) qui doivent demeurer adéquates. Savoir si l'exigence est respectée ne saurait se déterminer uniquement au regard de tel ou tel élément matériel du message utilisé ou du support auquel il est recouru. C'est au contraire l'impression d'ensemble qui est déterminante (arrêt du Tribunal fédéral 2C_259/2014 précité consid. 3.2 ; Yves DONZALLAZ, op. cit., n° 5564). La publicité pour les traitements est également rigoureusement limitée et en principe sujette à autorisation spécifique. De façon générale, elle ne peut encourager à des fins mercantiles le recours à des examens et à des traitements. De la même manière, il est en principe interdit de mentionner des appareils spéciaux ou des méthodes de traitement particulières sous réserve d’autorisation spéciale (Yves DONZALLAZ, op. cit., n° 5574). L’art. 69 al. 3 ODim interdit explicitement de faire de la publicité auprès du public pour les dispositifs destinés à être utilisés uniquement par des professionnels de la santé.</w:t>
      </w:r>
    </w:p>
    <w:p>
      <w:r>
        <w:rPr>
          <w:b/>
        </w:rPr>
        <w:t>E. 4.15</w:t>
      </w:r>
    </w:p>
    <w:p>
      <w:r>
        <w:t>L’art. 43 LPMéd prévoit qu’en cas de violation des devoirs professionnels, des dispositions de LPMéd ou de ses dispositions d’exécution, l’autorité de surveillance peut prononcer les mesures disciplinaires suivantes : (a) un avertissement ; (b) un blâme ; (c) une amende de CHF 20'000.- au plus ; (d) une interdiction de pratiquer</w:t>
      </w:r>
    </w:p>
    <w:p>
      <w:r>
        <w:t>- 22/31 - A/277/2025 sous propre responsabilité professionnelle pendant six ans au plus (interdiction temporaire) ; (e) une interdiction définitive de pratiquer sous propre responsabilité professionnelle pour tout ou partie du champ d’activité (al. 1). En cas de violation des devoirs professionnels énoncés à l’art. 40, let. b LPMéd, seules peuvent être prononcées les mesures disciplinaires visées à l’al. 1, let. a à c (al. 2).</w:t>
      </w:r>
    </w:p>
    <w:p>
      <w:r>
        <w:rPr>
          <w:b/>
        </w:rPr>
        <w:t>E. 4.16</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et ses capacités financières (ATA/719/2012 du 30 octobre 2012 consid. 20 et les références citées). L’art. 48 let. e CP prévoit que le juge atténue la peine si l’intérêt à punir a sensiblement diminué en raison du temps écoulé depuis l’infraction et que l’auteur s’est bien comporté dans l’intervalle.</w:t>
      </w:r>
    </w:p>
    <w:p>
      <w:r>
        <w:rPr>
          <w:b/>
        </w:rPr>
        <w:t>E. 4.17</w:t>
      </w:r>
    </w:p>
    <w:p>
      <w:r>
        <w:t>Le choix du type et de la gravité de la sanction doit également répondre au principe de la proportionnalité. Il doit être approprié au genre et à la gravité de la violation des devoirs professionnels et ne pas aller au-delà de ce qui est nécessaire pour assurer les buts d'intérêt public recherchés (arrêts 8C_448/2019 précité consid. 5.1.3 et 8C_24/2017 du 13 décembre 2017 consid. 3.4).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 ; ATA/219/2020 du 25 février 2020 consid. 6d et la référence citée).</w:t>
      </w:r>
    </w:p>
    <w:p>
      <w:r>
        <w:rPr>
          <w:b/>
        </w:rPr>
        <w:t>E. 4.18</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4.19</w:t>
      </w:r>
    </w:p>
    <w:p>
      <w:r>
        <w:t>L’art. 41 LPMéd prévoit que chaque canton désigne une autorité chargée de la surveillance des personnes exerçant, sur son territoire, une profession médicale</w:t>
      </w:r>
    </w:p>
    <w:p>
      <w:r>
        <w:t>- 23/31 - A/277/2025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w:t>
      </w:r>
    </w:p>
    <w:p>
      <w:r>
        <w:rPr>
          <w:b/>
        </w:rPr>
        <w:t>E. 7</w:t>
      </w:r>
    </w:p>
    <w:p>
      <w:r>
        <w:t>Vu l’issue du litige, un émolument, réduit, de CHF 1’000.-, sera mis à la charge de la recourante, qui n’obtient que partiellement gain de cause (art. 87 al. 1 LPA).</w:t>
      </w:r>
    </w:p>
    <w:p>
      <w:r>
        <w:t>- 29/31 - A/277/2025 Pour les mêmes motifs, une indemnité de procédure, réduite, de CHF 500.- lui sera allouée, à la charge de l’État de Genève (art. 87 al. 2 LPA).</w:t>
      </w:r>
    </w:p>
    <w:p>
      <w:r>
        <w:t>* * * * *</w:t>
      </w:r>
    </w:p>
    <w:p>
      <w:r>
        <w:t>- 30/31 - A/277/2025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