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ATA/873/2023 vom 22. August 2023</w:t>
      </w:r>
    </w:p>
    <w:p>
      <w:r>
        <w:t>GE Cour de justice, 2023-08-22, FR</w:t>
      </w:r>
    </w:p>
    <w:p>
      <w:r>
        <w:rPr>
          <w:b/>
        </w:rPr>
        <w:t xml:space="preserve">Quelle: </w:t>
      </w:r>
      <w:r>
        <w:t>https://mcp.opencaselaw.ch/entscheid/ge_gerichte_ATA_873_2023</w:t>
      </w:r>
    </w:p>
    <w:p>
      <w:r>
        <w:t>FR: GE_GERICHTE ATA/873/2023 du 22 août 2023</w:t>
      </w:r>
    </w:p>
    <w:p>
      <w:r>
        <w:t>IT: GE_GERICHTE ATA/873/2023 del 22 agosto 2023</w:t>
      </w:r>
    </w:p>
    <w:p>
      <w:pPr>
        <w:pStyle w:val="Heading2"/>
      </w:pPr>
      <w:r>
        <w:t>Regeste</w:t>
      </w:r>
    </w:p>
    <w:p>
      <w:r>
        <w:t>Résumé: Rejet du recours d’un infirmier dont les rapports de services ont été résiliés au motif d’une violation de ses devoirs de service, notamment celui de collaboration. Le refus du recourant d’apporter à son employeur des explications sur des événements apparaissant incompatibles avec sa fonction, soit une condamnation pénale dont il a fait l’objet, a conduit à la rupture du lien de confiance. Vu les circonstances, une exception au principe du reclassement peut être admise. Le licenciement est ainsi fondé et respecte le principe de la proportionnalité.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c de la loi sur la procédure administrative du 12 septembre 1985 - LPA - E 5 10). 2. Le litige porte sur la conformité au droit de la décision du 21 novembre 2022 des HUG résiliant les rapports de service du recourant pour le 28 février 2023, pour motif fondé. 3.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non pertinente en l’espèce. 4. Les parties soulèvent des questions en lien avec le droit d’être entendu. 4.1 Tel qu’il est garanti par l’art. 29 al. 2 de la Constitution fédérale de la Confédération suisse du 18 avril 1999 (Cst. - RS 101), le droit d’être entendu comprend notamment le droit pour l’intéressé d’offrir des preuves pertinentes et d’obtenir qu’il y soit donné suite,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 4.2 Le droit d'être entendu impose également à l'autorité de motiver ses décisions, afin que l’administré puisse les comprendre et exercer son droit de recours à bon escient. Pour satisfaire à cette exigence, il suffit que l’autorité discute les griefs qui sont pertinents pour l'issue du litige (ATF 142 II 154 consid. 4.2 ; ATA/715/2021 du 6 juillet 2021 consid. 3a). Il suffit, selon la jurisprudence, qu’elle mentionne, au moins brièvement, les motifs qui l'ont guidée et sur lesquels elle a fondé sa décision, de manière à ce que</w:t>
      </w:r>
    </w:p>
    <w:p>
      <w:r>
        <w:t>- 10/18 - A/4405/2022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4.3 Le recourant se plaint d’un défaut de motivation de la décision attaquée en tant qu’elle se limite à un renvoi au rapport d’entretien de service et n’indique pas de motif fondé justifiant la résiliation des rapports de service. La décision entreprise se réfère expressément aux motifs évoqués lors de l’entretien de service. Le recourant a été dûment convoqué audit entretien et informé à cette occasion qu’il se rapportait à une affaire judiciaire le concernant, soit une éventuelle condamnation pénale pour des faits incompatibles avec ses devoirs de fonction. Après avoir pu s’exprimer durant l’entretien, il a été informé que les éléments précités étaient susceptibles de conduire à une résiliation des rapports de service ou à une sanction disciplinaire. Il a ensuite déposé des observations et contresigné le rapport d’entretien. Le recourant a pu se rendre compte de la portée de la décision prise à son égard et recourir contre elle en connaissance de cause, par un acte de recours dûment motivé, à l’appui duquel il a produit un certain nombre de pièces. Le grief de violation du droit d’être entendu sera en conséquence écarté. 4.4 Les HUG sollicitent l’audition de deux témoins pour démontrer l’existence de motifs fondés. Ces témoignages ne s’avèrent toutefois pas de nature, vu le dossier en mains de la chambre de céans et les considérants qui suivent, à modifier l’issue du présent litige, de sorte qu’il ne sera pas donné suite à cette requête d’instruction.</w:t>
      </w:r>
    </w:p>
    <w:p>
      <w:r>
        <w:rPr>
          <w:b/>
        </w:rPr>
        <w:t>E. 5</w:t>
      </w:r>
    </w:p>
    <w:p>
      <w:r>
        <w:t>La question de savoir quels sont les moyens de preuve admis en procédure administrative est régie, devant les autorités cantonales, par le droit cantonal, sous réserve de dispositions de droit fédéral (ATF 139 II 7 consid. 5). En procédure administrative genevoise, l'art. 10A LPA dispose que « [t]oute personne peut porter à la connaissance des autorités des faits susceptibles d'entraîner l'ouverture d'une procédure administrative. Toutefois, l'autorité ne donne aucune suite aux dénonciations anonymes ». Sous cet angle, un rapport de police transmis anonymement à une autorité est considéré comme étant obtenu de manière illicite (arrêt du Tribunal fédéral 2C_260/2020 du 20 octobre 2020 consid. 5.2). Le sort des preuves obtenues illégalement n'est toutefois pas réglé par la LPA.</w:t>
      </w:r>
    </w:p>
    <w:p>
      <w:r>
        <w:t>- 11/18 - A/4405/2022 La jurisprudence reconnaît qu'une interdiction de principe d'utiliser des preuves acquises illicitement peut être déduite du droit à un procès équitable au sens des art. 29 al. 1 Cst. et 6 par. 1 de la Convention de sauvegarde des droits de l’homme et des libertés fondamentales du 4 novembre 1950 (CEDH - RS 0.101),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Le juge peut s'inspirer au besoin des règles posées en matière pénale, à savoir les art. 3 et 139 ss CPP (ATA/240/2017 du 28 février 2017 consid. 6). En l’espèce, l’extrait judiciaire qui concerne la procédure pénale dont le recourant a fait l’objet en France a été transmis de manière anonyme à son employeur. Il existe toutefois un intérêt public évident à employer dans les établissements publics médicaux du personnel respectueux de l’institution et de ses obligations, ainsi que de protection du personnel et de la patientèle, qui prime celui du recourant à ce qu’aucune suite ne soit donnée à la dénonciation anonyme à son sujet. Dans ces circonstances, il ne peut être reproché aux HUG, et le recourant ne l’allègue d’ailleurs pas, d’avoir instruit les faits portés à sa connaissance.</w:t>
      </w:r>
    </w:p>
    <w:p>
      <w:r>
        <w:rPr>
          <w:b/>
        </w:rPr>
        <w:t>E. 6</w:t>
      </w:r>
    </w:p>
    <w:p>
      <w:r>
        <w:t>Le recourant conteste l’existence d’un motif fondé à son licenciement.</w:t>
      </w:r>
    </w:p>
    <w:p>
      <w:r>
        <w:rPr>
          <w:b/>
        </w:rPr>
        <w:t>E. 6.1</w:t>
      </w:r>
    </w:p>
    <w:p>
      <w:r>
        <w:t>En tant que membre du personnel des HUG, le recourant est soumis au statut du personnel des HUG du 16 décembre 1999 (ci-après : statut) en application de l'art. 1 al. 1 let. e de la loi générale relative au personnel de l’administration cantonale, du pouvoir judiciaire et des établissements publics médicaux du 4 décembre 1997 (LPAC - B 5 05) et de l'art. 7 let. e de la loi sur les établissements publics médicaux du 19 septembre 1980 (LEPM - K 2 05). Il est aussi soumis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w:t>
      </w:r>
    </w:p>
    <w:p>
      <w:r>
        <w:rPr>
          <w:b/>
        </w:rPr>
        <w:t>E. 6.2</w:t>
      </w:r>
    </w:p>
    <w:p>
      <w:r>
        <w:t>Les devoirs des membres du personnel des HUG sont énoncés dans le titre III du statut. Ces derniers sont tenus au respect de l'intérêt de l'établissement et</w:t>
      </w:r>
    </w:p>
    <w:p>
      <w:r>
        <w:t>- 12/18 - A/4405/2022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de justifier et de renforcer la considération et la confiance dont la fonction publique doit être l'objet (let. c). Ils se doivent de remplir tous les devoirs de leur fonction consciencieusement et avec diligence (art. 22 al. 1 du statut).</w:t>
      </w:r>
    </w:p>
    <w:p>
      <w:r>
        <w:rPr>
          <w:b/>
        </w:rPr>
        <w:t>E. 6.3</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(ATA/287/2018 du 27 mars 2018 consid. 3a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(ATA/589/2018 du 12 juin 2018 consid. 5 ; ATA/253/2018 du 20 mars 2018 consid. 4a ; MGC 2005-2006/XI A 10420). Selon le Tribunal fédéral, la violation fautive des devoirs de service n'exclut pas le prononcé d'un licenciement administratif, soit, pour le canton de Genève,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8C_203/2010 du 1er mars 2011 consid. 3.5). Dans cette affaire, l'établissement public cantonal avait, après l'enquête administrative, prononcé la</w:t>
      </w:r>
    </w:p>
    <w:p>
      <w:r>
        <w:t>- 13/18 - A/4405/2022 révocation à l'encontre du membre du personnel concerné. Selon le Tribunal fédéral, on peut douter que la voie utilisée par l'autorité intimée constitue une mesure appropriée pour sanctionner les actes de ladite personne. Ceux-ci se situaient en deçà de la gravité des cas cités sous l'angle des attentes de la fonction occupée et de la nature des devoirs violés. En particulier, il n'apparaissait pas que cette personne ait gravement porté atteinte au fonctionnement ou à l'image de l'autorité intimée. Toutefois, le Tribunal fédéral a considéré que le comportement adopté par cette personne pouvait entraîner la rupture du lien de confiance avec son employeur. Les faits reprochés à cette dernière constituaient manifestement un motif fondé de résiliation des rapports de service, de sorte que l'autorité intimée aurait été fondée à prononcer le licenciement ordinaire et même immédiat. Si ce n'est dans ses motifs, le jugement cantonal pouvait en tout cas être confirmé dans son résultat (arrêt 8C_203/2010 précité consid. 3.6).</w:t>
      </w:r>
    </w:p>
    <w:p>
      <w:r>
        <w:rPr>
          <w:b/>
        </w:rPr>
        <w:t>E. 6.4</w:t>
      </w:r>
    </w:p>
    <w:p>
      <w:r>
        <w:t>Les rapports de service étant soumis au droit public, la résiliation est en outre assujettie au respect des principes constitutionnels, en particulier ceux de la légalité, l'égalité de traitement, la proportionnalité et l'interdiction de l'arbitraire (ATA/589/2018 précité consid. 5 ; ATA/347/2016 du 26 août 2016 consid. 5e ; ATA/1343/2015 du 15 décembre 2015 consid. 8).</w:t>
      </w:r>
    </w:p>
    <w:p>
      <w:r>
        <w:rPr>
          <w:b/>
        </w:rPr>
        <w:t>E. 6.5</w:t>
      </w:r>
    </w:p>
    <w:p>
      <w:r>
        <w:t>En l’espèce, il ressort du dossier que le recourant a fait l’objet d’une condamnation pénale pour agression sexuelle le 20 octobre 2017 en France. Il apparaît également qu’il a formé appel du jugement de première instance le 30 octobre 2017. Dans la mesure où la procédure pénale précitée était vraisemblablement encore en cours durant le processus ayant conduit à son engagement par les HUG au cours du dernier trimestre 2017, et où il a transmis à son futur employeur tous les documents requis, y compris pour l’obtention de son droit de pratique, soit en particulier un extrait de casier judiciaire pour particuliers exempt de condamnation, il ne peut lui être reproché de n’avoir alors pas mentionné sa mise en cause dans une affaire judiciaire. Dans les circonstances particulières du cas d’espèce, la question de savoir s’il devait spontanément informer son employeur des suites de cette procédure peut souffrir de rester indécise, vu ce qui suit. Il y a en effet lieu de constater que, lorsque l’affaire a été portée à la connaissance des HUG qui lui ont demandé des compléments d’information, le recourant a fourni à ses différents interlocuteurs, à l’occasion de deux entretiens informels puis en entretien de service, des explications à tout le moins contradictoires et incohérentes. En effet, à teneur du document en mains des intimés, le recourant a été reconnu coupable d’agression sexuelle commise durant une période de six mois et condamné à une peine d’un an d’emprisonnement avec sursis et inscription au FIJAIS. Questionné à ce sujet par son employeur, il a déclaré que les faits se seraient déroulés sur son lieu de travail, à Chambéry. Selon lui, l’une de ses collègues de l’époque aurait porté plainte contre lui après qu’il l’aurait</w:t>
      </w:r>
    </w:p>
    <w:p>
      <w:r>
        <w:t>- 14/18 - A/4405/2022 réveillée à l’issue d’une nuit de service durant laquelle il aurait été contraint de gérer seul tous les patients. Son employeur de l’époque ne l’aurait pas licencié, se contentant de le déplacer dans un autre établissement durant la procédure. Or, bien que les intimés aient émis, à juste titre, des doutes quant à la véracité des explications du recourant, au vu notamment de l’importance de la sanction pénale eu égard aux faits décrits, le recourant a, à plusieurs reprises, refusé de produire, même en partie, des pièces permettant d’étayer sa version des faits et de savoir si et dans quelle mesure il a été condamné en appel, laissant ainsi son employeur dans l’incertitude quant aux risques qu’il prenait en poursuivant leur collaboration, notamment à l’égard du personnel et de la patientèle. Certes, le recourant ne pouvait commander et produire que le « bulletin numéro 3 » de son casier judiciaire – les bulletins numéros 1 et 2 ne pouvant pas être délivrés aux particuliers et le bulletin numéro 3 ne mentionnant que les condamnations les plus graves et les peines privatives de droit (https://faq.casier- judiciaire.justice.gouv.fr/selfservice/fr-fr/10/vos-questions-les-plus-frequentes/ consulté le 18 juillet 2023). Cependant, son attitude consistant à refuser de collaborer dans le but de rassurer son employeur en apportant des éclaircissements sur des événements qui apparaissent incompatibles avec l’exercice de la fonction d’infirmier constitue une violation de ses devoirs de service au sens des art. 20 à 22 du statut et est de nature à rompre tout lien de confiance avec les HUG. Au vu de ce qui précède, le motif retenu par l’employeur, à savoir la rupture définitive des rapports de confiance en lien avec le défaut de collaboration du recourant et les doutes suscités par son attitude, est établi. Or, une rupture du lien de confiance constitue un motif objectivement fondé et permet de prononcer une décision de résiliation. Les bons états de service du recourant, qui ne sont pas contestés, ne modifient en rien la découverte de sa condamnation pénale, son comportement subséquent et leur effet sur le lien de confiance nécessaire à la poursuite des rapports de service.</w:t>
      </w:r>
    </w:p>
    <w:p>
      <w:r>
        <w:rPr>
          <w:b/>
        </w:rPr>
        <w:t>E. 7</w:t>
      </w:r>
    </w:p>
    <w:p>
      <w:r>
        <w:t>Le recourant conclut à l’ouverture d’une procédure de reclassement et reproche aux HUG de ne pas l’avoir initiée.</w:t>
      </w:r>
    </w:p>
    <w:p>
      <w:r>
        <w:rPr>
          <w:b/>
        </w:rPr>
        <w:t>E. 7.1</w:t>
      </w:r>
    </w:p>
    <w:p>
      <w:r>
        <w:t>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w:t>
      </w:r>
    </w:p>
    <w:p>
      <w:r>
        <w:t>- 15/18 - A/4405/2022 motivée de résiliation des rapports de service pour motif fondé intervient (al. 6). Le service des ressources humaines du département, agissant d’entente avec l’office du personnel de l’État, est l’organe responsable (al. 7). L’art. 48A du statut a la même teneur.</w:t>
      </w:r>
    </w:p>
    <w:p>
      <w:r>
        <w:rPr>
          <w:b/>
        </w:rPr>
        <w:t>E. 7.2</w:t>
      </w:r>
    </w:p>
    <w:p>
      <w:r>
        <w:t>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ATA/78/2020 du 28 janvier 2020 consid. 4a ; ATA/1280/2019 du 27 août 2019 consid. 8d et les arrêts cités).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ATA/78/2020 du 28 janvier 2020 consid. 4a ; ATA/1067/2016 du 20 décembre 2016 consid. 7). Selon le Tribunal fédéral, lorsqu'un reclassement revient en fin de compte à reporter dans un autre service des problèmes de comportement reprochés au recourant, il parait illusoire (arrêt du Tribunal fédéral 8C_839/2014 du 5 mai 2015 consid. 7.1). La jurisprudence genevoise connaît une casuistique où la chambre administrative a admis l'absence de procédure de reclassement (ATA/1345/2020 du 22 décembre 2020 consid. 3i et les arrêts cités).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(ATA/1060/2020 du 27 octobre 2020 consid. 9c ; ATA/1579/2019 du 29 octobre 2019 consid. 12h).</w:t>
      </w:r>
    </w:p>
    <w:p>
      <w:r>
        <w:rPr>
          <w:b/>
        </w:rPr>
        <w:t>E. 7.3</w:t>
      </w:r>
    </w:p>
    <w:p>
      <w:r>
        <w:t>En l’espèce, dès lors que les explications du recourant quant à sa condamnation pénale et son refus de collaborer sont de nature à rompre le lien de confiance et maintiennent son employeur dans le doute quant aux risques encourus en poursuivant leur collaboration, force est de constater que la</w:t>
      </w:r>
    </w:p>
    <w:p>
      <w:r>
        <w:t>- 16/18 - A/4405/2022 problématique ne saurait être résolue par une procédure de reclassement. Au contraire, transférer le recourant dans un autre service reviendrait à déplacer le problème lié au fait que serait maintenu dans ses fonctions un infirmier au sujet duquel subsistent des incertitudes quant à une procédure pénale dont il a fait l’objet pour une agression sexuelle sur son lieu de travail. Le reclassement s’avère ainsi illusoire. Dans ces conditions, l’appréciation des HUG, selon laquelle le comportement du recourant et la rupture définitive du lien de confiance pouvaient justifier une exception au principe légal du reclassement et que l'intérêt public et privé de nombreux employés de l'État, voire de tiers et de l’institution primait l'intérêt privé, pourtant important, du recourant ne prête pas flanc à la critique. Les HUG étaient en conséquence fondés à mettre un terme aux rapports de service du recourant, sans mésuser de leur pouvoir d’appréciation ni violer les bases légales et principes constitutionnels applicables.</w:t>
      </w:r>
    </w:p>
    <w:p>
      <w:r>
        <w:rPr>
          <w:b/>
        </w:rPr>
        <w:t>E. 8</w:t>
      </w:r>
    </w:p>
    <w:p>
      <w:r>
        <w:t>Le recourant invoque une violation du principe de la proportionnalité.</w:t>
      </w:r>
    </w:p>
    <w:p>
      <w:r>
        <w:rPr>
          <w:b/>
        </w:rPr>
        <w:t>E. 8.1</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rPr>
          <w:b/>
        </w:rPr>
        <w:t>E. 8.2</w:t>
      </w:r>
    </w:p>
    <w:p>
      <w:r>
        <w:t>En l’espèce, le licenciement est apte à atteindre le but d’intérêt public à employer dans les établissements publics médicaux du personnel respectueux de l’institution, de ses collègues et des tiers et de ses obligations, ainsi que de protection du personnel et de la patientèle. La mesure est nécessaire pour atteindre cet objectif et proportionnée au sens étroit compte tenu, notamment, du refus du recourant de collaborer ayant conduit à l’impossibilité, de son seul fait, de déterminer les circonstances entourant sa condamnation pénale pour agression sexuelle et, partant, à la rupture du lien de confiance, ainsi que de l’absence de remise en question du recourant.</w:t>
      </w:r>
    </w:p>
    <w:p>
      <w:r>
        <w:rPr>
          <w:b/>
        </w:rPr>
        <w:t>E. 9</w:t>
      </w:r>
    </w:p>
    <w:p>
      <w:r>
        <w:t>Au vu des considérants qui précèdent, il n’y a pas lieu d’examiner les conclusions du recourant tendant à sa réintégration. Mal fondé, le recours sera rejeté.</w:t>
      </w:r>
    </w:p>
    <w:p>
      <w:r>
        <w:rPr>
          <w:b/>
        </w:rPr>
        <w:t>E. 10</w:t>
      </w:r>
    </w:p>
    <w:p>
      <w:r>
        <w:t>Vu l’issue du litige, un émolument de CHF 1'000.- sera mis à la charge du recourant, qui succombe (art. 87 al. 1 LPA). Les HUG disposant d’un service juridique, aucune indemnité ne leur sera allouée (art. 87 al. 2 LPA ; ATA/605/2021 du 8 juin 2021 et les références citées).</w:t>
      </w:r>
    </w:p>
    <w:p>
      <w:r>
        <w:t>- 17/18 - A/4405/2022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