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ATA/873/2015 vom 25. August 2015</w:t>
      </w:r>
    </w:p>
    <w:p>
      <w:r>
        <w:t>GE Cour de justice, 2015-08-25, FR</w:t>
      </w:r>
    </w:p>
    <w:p>
      <w:r>
        <w:rPr>
          <w:b/>
        </w:rPr>
        <w:t xml:space="preserve">Quelle: </w:t>
      </w:r>
      <w:r>
        <w:t>https://mcp.opencaselaw.ch/entscheid/ge_gerichte_ATA_873_2015</w:t>
      </w:r>
    </w:p>
    <w:p>
      <w:r>
        <w:t>FR: GE_GERICHTE ATA/873/2015 du 25 août 2015</w:t>
      </w:r>
    </w:p>
    <w:p>
      <w:r>
        <w:t>IT: GE_GERICHTE ATA/873/2015 del 25 agosto 2015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janvier 2016.</w:t>
      </w:r>
    </w:p>
    <w:p>
      <w:r>
        <w:t>- 14/15 - A/1861/2015 21) Aucun émolument ne sera mis à la charge de la recourante, qui obtient gain de cause, ni de l’office de l’enfance et de la jeunesse qui en est dispensé de par la loi (art. 87 al. 1 LPA). N'ayant pas exposé de frais pour leur défense, il ne sera pas alloué d'indemnité de procédure à la recourante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