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ATA/866/2022 vom 30. August 2022</w:t>
      </w:r>
    </w:p>
    <w:p>
      <w:r>
        <w:t>GE Cour de justice, 2022-08-30, FR</w:t>
      </w:r>
    </w:p>
    <w:p>
      <w:r>
        <w:rPr>
          <w:b/>
        </w:rPr>
        <w:t xml:space="preserve">Quelle: </w:t>
      </w:r>
      <w:r>
        <w:t>https://mcp.opencaselaw.ch/entscheid/ge_gerichte_ATA_866_2022</w:t>
      </w:r>
    </w:p>
    <w:p>
      <w:r>
        <w:t>FR: GE_GERICHTE ATA/866/2022 du 30 août 2022</w:t>
      </w:r>
    </w:p>
    <w:p>
      <w:r>
        <w:t>IT: GE_GERICHTE ATA/866/2022 del 30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 al. 1 let. c de la loi sur la procédure administrative du 12 septembre 1985 - LPA - E 5 10). 2)</w:t>
      </w:r>
    </w:p>
    <w:p>
      <w:r>
        <w:t>La recourante sollicite la suspension de la procédure jusqu'à droit connu sur la requête en délivrance d’une autorisation exceptionnelle de morceler les parcelles qu’elle dit avoir soumise à la CFA.</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w:t>
      </w:r>
    </w:p>
    <w:p>
      <w:r>
        <w:t>- 6/12 - A/56/2022 suspension systématique de la procédure chaque fois qu'une autorité civile, pénale ou administrative est parallèlement saisie (ATA/1493/2019 du 8 octobre 2019 consid. 3b et l'arrêt cité).</w:t>
      </w:r>
    </w:p>
    <w:p>
      <w:r>
        <w:t>b. En l’espèce, il sera vu plus loin que l’objet de la procédure est le désassujettissement total des trois parcelles et non un désassujettissement partiel. La cause est en état d’être jugée et sa solution juridique ne dépend pas d’un éventuel morcellement futur, si bien qu’il n’y a pas lieu de donner suite à la demande de suspension. 3)</w:t>
      </w:r>
    </w:p>
    <w:p>
      <w:r>
        <w:t>Le litige a pour objet le rejet, par la CFA le 9 novembre 2021, de la requête de la recourante du 26 octobre 2021 tendant au prononcé du désassujettissement du droit foncier rural des parcelles nos 10'169, 11'154 et 12'961 de la commune de B______.</w:t>
      </w:r>
    </w:p>
    <w:p>
      <w:r>
        <w:t>a. L'objet du litige est principalement défini par l'objet du recours (ou objet de la contestation), les conclusions de la recourante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w:t>
      </w:r>
    </w:p>
    <w:p>
      <w:r>
        <w:t>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b. En l’espèce, la requête de la recourante portait sur le désassujettissement des trois parcelles dans leur totalité ainsi qu’il ressort du sens littéral du formulaire, que la recourante ne conteste pas en tant que tel. La décision querellée s’est limitée à refuser de prononcer le désassujettissement de l’intégralité des parcelles. Il suit de là que la conclusion n° 5 du recours, tendant au prononcé du</w:t>
      </w:r>
    </w:p>
    <w:p>
      <w:r>
        <w:t>- 7/12 - A/56/2022 « désassujettissement partiel à la LDFR de la partie ouest des parcelles nos 10'169, 11'154 et 12'961 », commune de B______, n’est pas l’objet de la procédure, en particulier n’a pas été soumise à la CFA, et est partant irrecevable.</w:t>
      </w:r>
    </w:p>
    <w:p>
      <w:r>
        <w:t>La recourante soutient dans sa réplique que la CFA aurait cependant dû comprendre le formulaire comme réclamant en réalité un désassujettissement partiel et compléter l’instruction dans ce sens. Elle invoque une constatation inexacte des faits ainsi que la violation des principes de la maxime inquisitoire et de la maxime d’office. Elle ne peut être suivie.</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En l’espèce, si la limite actuelle entre les jardins d’agrément bordant les bâtiments et les surfaces cultivées peut éventuellement être observée sur les images aériennes, elle n’a à ce jour fait l’objet d’aucun remaniement parcellaire et en particulier d’aucun morcellement qui serait cartographié publiquement, par exemple sur le système d’information du Territoire à Genève (ci-après : SITG). La recourante explique s’appuyer sur l’inventaire de la zone agricole, dont elle reproduit un extrait dans son recours. Si l’objectif de ce dernier est de recenser l’affectation des terrains situés en zone agricole et de compléter les instruments à disposition pour l’examen des requêtes dans cette zone, il ne constitue toutefois qu’une étude de base du plan directeur cantonal et n’a aucune portée légale, comme le rappelle la notice d’information sur les métadonnées publiée par le SITG et produite par la recourante.</w:t>
      </w:r>
    </w:p>
    <w:p>
      <w:r>
        <w:t>Il suit de là que la référence à la « partie ouest » pourrait en toute hypothèse manquer de la précision nécessaire pour délimiter l’objet d’une éventuelle décision de désassujettissement partiel. Un éventuel transport sur place n’aurait pas été en mesure d’apporter plus d’informations que celles disponibles sur le SITG. Une interpellation de la recourante n’aurait dans ces circonstances pas non plus eu d’utilité.</w:t>
      </w:r>
    </w:p>
    <w:p>
      <w:r>
        <w:t>La recourante semble consciente du problème préalable de la délimitation légale des surfaces, puisqu’elle dit avoir sollicité de la CFA dans une procédure parallèle une dérogation aux fins de procéder à un morcellement et qu’elle</w:t>
      </w:r>
    </w:p>
    <w:p>
      <w:r>
        <w:t>- 8/12 - A/56/2022 demande la suspension de la présente procédure dans l’attente du résultat de cette démarche.</w:t>
      </w:r>
    </w:p>
    <w:p>
      <w:r>
        <w:t>Cela étant, la recourante n’a pas évoqué dans sa requête l’inventaire agricole, pas plus qu’elle n’a désigné ou délimité une fraction des parcelles ni spécifié qu’elle réclamait un désassujettissement partiel seulement, visant les bâtiments et les jardins les entourant, ou encore un désassujettissement en tout ou en partie, alors que cela lui était loisible (ATA/487/2022 du 10 mai 2022 ; ATA/2044/2021 du 21 septembre 2021 ; ATA/998/2021 du 28 septembre 2021). Rien ne l’empêchait de compléter le formulaire dans ce sens, et en particulier pas son statut de profane, lequel ne devait pas inciter la CFA à interpréter une requête dont elle pouvait de bonne foi tenir le sens objectif pour inéquivoque.</w:t>
      </w:r>
    </w:p>
    <w:p>
      <w:r>
        <w:t>Il reste encore à examiner la conclusion en annulation de la décision attaquée. 4) a.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t>La LDFR s'applique aux immeubles agricoles isolés ou aux immeubles agricoles faisant partie d'une entreprise agricole : qui sont situés en dehors d'une zone à bâtir au sens de l'art. 15 de la loi fédérale sur l’aménagement du territoire du 22 juin 1979 (Loi sur l’aménagement du territoire - LAT - RS 700 ; art. 2 let. a LDFR), et dont l'utilisation agricole est licite (let. b).</w:t>
      </w:r>
    </w:p>
    <w:p>
      <w:r>
        <w:t>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 parmi celles-ci, on trouve les prairies, les champs, les surfaces cultivables, les cultures fruitières et les pâturages (arrêts du Tribunal fédéral 2C_14/2020 du 18 juin 2020 consid. 5.1 ; 2C_1068/2019 du 26 mai 2020 consid. 2.1). Cette notion est</w:t>
      </w:r>
    </w:p>
    <w:p>
      <w:r>
        <w:t>- 9/12 - A/56/2022 identique à celle des terrains se prêtant à une exploitation agricole au sens de l'art. 16 al. 1 LAT (ATF 125 III 175 consid. 2b).</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w:t>
      </w:r>
    </w:p>
    <w:p>
      <w:r>
        <w:t>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t>Dans un premier temps, l’usage non agricole doit durer depuis plusieurs années (ATF 139 III 327 consid. 3.1 ; arrêt du Tribunal fédéral 5A.4/2000 du 1er septembre 2000 consid. 2b ; Message du Conseil fédéral du 19 octobre 1988 à l’appui des projets de loi fédérale sur le droit foncier rural [LDFR] et de la loi sur la révision partielle du code civil [droits réels immobiliers] et du code des obligations [vente d’immeuble], FF 1998 III 917 n. 221.3 ; Yves DONZALLAZ, Pratique et jurisprudence de droit foncier rural, op. cit., n. 62 p. 51-52 ; Eduard HOFER, op. cit., n. 16 ad art. 6 LDFR ; Yves DONZALLAZ, Commentaire de la LDFR, 1993, n. 81 p. 44).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En particulier, un usage non agricole d’une dizaine d’années n’est pas suffisant (arrêt du Tribunal fédéral 5A.4/2000 précité consid. 2b).</w:t>
      </w:r>
    </w:p>
    <w:p>
      <w:r>
        <w:t>Il faut ensuite que l’usage agricole ne soit pas non plus envisageable pour l’avenir. Dans ce cas, une approche concrète est privilégiée. Il faut en particulier que l’évaluation repose sur des éléments objectifs autres que la nature du sol. Le long usage non agricole passé permet souvent de présumer, à défaut d’éléments nouveaux, qu’il en sera de même pour l’avenir. Il suffit donc qu’un tel usage non</w:t>
      </w:r>
    </w:p>
    <w:p>
      <w:r>
        <w:t>- 10/12 - A/56/2022 agricole futur soit seulement vraisemblable (ATF 139 III 327 consid. 3.2 ; arrêt du Tribunal fédéral 5A.4/2000 précité consid. 2b).</w:t>
      </w:r>
    </w:p>
    <w:p>
      <w:r>
        <w:t>Finalement,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au sens de l’art. 24c LAT (ATF 139 III 327 consid. 3.3 ; arrêt du Tribunal fédéral 2C_458/2021 du 2 décembre 2021 consid. 4.1).</w:t>
      </w:r>
    </w:p>
    <w:p>
      <w:r>
        <w:t>Le fait que l’environnement général soit agricole n’est pas propre, à lui seul, à empêcher la soustraction d’un immeuble au champ d’application de la LDFR. Il est ainsi insuffisant de retenir l’existence d’immeubles agricoles plus ou moins proches pour faire obstacle à la soustraction du champ d’application de la LDFR en partant de la présomption qu’un usage agricole futur demeure possible (ATF 139 III 327 consid. 4).</w:t>
      </w:r>
    </w:p>
    <w:p>
      <w:r>
        <w:t>Est ainsi approprié à l’agriculture l’immeuble effectivement exploité selon un mode agricole et ne l’est pas celui qui, objectivement apte à un tel usage, n’a plus été utilisé pour l’agriculture depuis de nombreuses années et ne le sera vraisemblablement plus à l’avenir (Yves DONZALLAZ, Traité de droit agraire suisse, op. cit., p. 176-177). L’usage effectif n’est en résumé pas déterminant dans la mesure où il est récent. Par contre, son existence prolongée ferait perdre au terrain sa nature objectivement agricole (ATA/807/2012 du 27 novembre 2012 consid. 3b).</w:t>
      </w:r>
    </w:p>
    <w:p>
      <w:r>
        <w:t>b. En l'espèce, les parcelles sont situées en zone agricole. Elles sont effectivement, pour la moitié au moins de leurs surfaces, exploitées à des fins agricoles et recensées dans la même mesure comme surfaces d’assolement. Elles sont entourées de parcelles également situées en zone agricole et effectivement cultivées. La recourante ne le conteste pas.</w:t>
      </w:r>
    </w:p>
    <w:p>
      <w:r>
        <w:t>Les parcelles sont partant appropriées à un usage agricole ou horticole au sens de l’art. 6 al. 1 LDFR. Cette qualité ne peut en l’espèce s’examiner qu’à l’échelle de leur totalité, conformément à l’objet de la requête. Elle a été admise par la CFA à bon droit.</w:t>
      </w:r>
    </w:p>
    <w:p>
      <w:r>
        <w:t>La présente procédure n’ayant pas pour objet un désassujettissement partiel mais la totalité des parcelles, il ne peut être reproché à la CFA d’avoir violé le principe de proportionnalité pour n’avoir pas distingué les zones est et ouest. Pour les mêmes motifs, la qualification des constructions contenues sur les parcelles et la question de leur légalité sont sans portée dans la présente procédure et les griefs de constatation inexacte des faits ou de violation de la maxime inquisitoire adressés à la CFA sur ces points tombent à faux.</w:t>
      </w:r>
    </w:p>
    <w:p>
      <w:r>
        <w:t>- 11/12 - A/56/2022 5)</w:t>
      </w:r>
    </w:p>
    <w:p>
      <w:r>
        <w:t>La recourante se plaint enfin de ce que la CFA lui aurait donné des assurances sur la possibilité de désassujettissement de ses parcelles et aurait violé le principe de la bonne foi en rejetant par la suite sa requête.</w:t>
      </w:r>
    </w:p>
    <w:p>
      <w:r>
        <w:t>Elle se borne toutefois à l’alléguer dans sa réplique, sans le documenter d’aucune manière. Elle ne rend pas vraisemblable qu’elle se serait de bonne foi fiée à des assurances concrètes de l’autorité pour orienter son comportement – étant rappelé qu’il s’agissait en l’espèce du dépôt d’une demande soumise à des conditions juridiques précises et qu’il était quoi qu’il en soit loisible à la recourante de restreindre sa demande aux bâtiments et aux jardins.</w:t>
      </w:r>
    </w:p>
    <w:p>
      <w:r>
        <w:t>Entièrement mal fondé, le recours sera rejeté. 6)</w:t>
      </w:r>
    </w:p>
    <w:p>
      <w:r>
        <w:t>Vu l’issue du litige,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