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ATA/860/2020 vom 8. September 2020</w:t>
      </w:r>
    </w:p>
    <w:p>
      <w:r>
        <w:t>GE Cour de justice, 2020-09-08, FR</w:t>
      </w:r>
    </w:p>
    <w:p>
      <w:r>
        <w:rPr>
          <w:b/>
        </w:rPr>
        <w:t xml:space="preserve">Quelle: </w:t>
      </w:r>
      <w:r>
        <w:t>https://mcp.opencaselaw.ch/entscheid/ge_gerichte_ATA_860_2020</w:t>
      </w:r>
    </w:p>
    <w:p>
      <w:r>
        <w:t>FR: GE_GERICHTE ATA/860/2020 du 8 septembre 2020</w:t>
      </w:r>
    </w:p>
    <w:p>
      <w:r>
        <w:t>IT: GE_GERICHTE ATA/860/2020 del 8 settembre 2020</w:t>
      </w:r>
    </w:p>
    <w:p>
      <w:pPr>
        <w:pStyle w:val="Heading2"/>
      </w:pPr>
      <w:r>
        <w:t>Regeste</w:t>
      </w:r>
    </w:p>
    <w:p>
      <w:r>
        <w:t>Résumé: Rejet d’un recours contre une décision de révocation disciplinaire d’un agent de sécurité publique. La gravité des violations des devoirs de service établies, soit l’enregistrement de vidéos pendant des interventions sans l’accord des personnes filmées, les comportements au cours des interventions, l’utilisation des mesures réservées aux conduites en urgence ainsi que l’interpellation d’une personne pour des motifs autre que ceux relevant du cahier des charges, justifient la sanction prononcée. Examen de la proportionnalité de la mesure et du principe de l’égalité de traitement.</w:t>
      </w:r>
    </w:p>
    <w:p>
      <w:pPr>
        <w:pStyle w:val="Heading2"/>
      </w:pPr>
      <w:r>
        <w:t>Erwägungen</w:t>
      </w:r>
    </w:p>
    <w:p>
      <w:r>
        <w:rPr>
          <w:b/>
        </w:rPr>
        <w:t>E. 12</w:t>
      </w:r>
    </w:p>
    <w:p>
      <w:r>
        <w:t>avril 2017 par l’IGS, le chef de brigade (à la retraite), Monsieur M______, a encore précisé que la formation fédérale obligatoire pour les agents de rapatriement par voie aérienne insistait sur l’interdiction totale de filmer ou d’enregistrer tout le processus visant au rapatriement par voie aérienne.</w:t>
      </w:r>
    </w:p>
    <w:p>
      <w:r>
        <w:t>Le recourant tente de réduire sa faute et de la relativiser en invoquant le fait qu’il n’avait jamais eu pour volonté de diffuser les images prises pendant les interventions. Celles-ci n’étaient de plus jamais tombées dans les mains de personnes auxquelles elles n’étaient pas destinées. Cette argumentation tombe à faux, dans la mesure où la diffusion des vidéos aurait, à tout le moins, constitué une violation supplémentaire des devoirs de fonction.</w:t>
      </w:r>
    </w:p>
    <w:p>
      <w:r>
        <w:t>Une violation grave des devoirs de service, réalisée à plusieurs reprises et intentionnellement pas le recourant, doit être constatée en l’espèce. 8)</w:t>
      </w:r>
    </w:p>
    <w:p>
      <w:r>
        <w:t>À ces manquements s’ajoutent les comportements du recourant au cours des interventions, tels qu’ils ressortent des vidéos, qui violent gravement l’exigence d’un comportement exemplaire, digne, honorable et respectueux à l’égard des justiciables. Ces comportements portent une grave atteinte à la dignité humaine et,</w:t>
      </w:r>
    </w:p>
    <w:p>
      <w:r>
        <w:t>- 18/23 - A/2447/2019 répétés à plusieurs reprises, constituent autant de manquements fautifs supplémentaires aux devoirs de fonctionnaire du recourant.</w:t>
      </w:r>
    </w:p>
    <w:p>
      <w:r>
        <w:t>C’est donc à juste titre que la décision litigieuse a retenu que ces comportements répétés constituent des violations graves des devoirs de service.</w:t>
      </w:r>
    </w:p>
    <w:p>
      <w:r>
        <w:t>Le principe d’une sanction disciplinaire est donc acquis tant pour avoir filmé les interventions que pour le comportement du recourant au cours des interventions. 9)</w:t>
      </w:r>
    </w:p>
    <w:p>
      <w:r>
        <w:t>D’autres faits sont également admis par le recourant en relation avec l’interpellation de M. E______ le 28 septembre 2016.</w:t>
      </w:r>
    </w:p>
    <w:p>
      <w:r>
        <w:t>Le recourant était le responsable du dossier de M. E______ au sein de la BRE. Il a demandé à quatre collègues de lui prêter assistance pour interpeller M. E______ à sa sortie de l’OCPM. Deux véhicules, dont l’un conduit par le recourant, avec la sirène et les feux bleus enclenchés, ont été utilisés pour l’interpellation dont certains éléments du déroulement, tels que retenus dans le jugement pénal, sont contestés par le recourant. Ainsi, le recourant conteste qu’une ou des armes aient été utilisées pendant l’interpellation et il conteste le degré de la violence de l’interpellation retenu.</w:t>
      </w:r>
    </w:p>
    <w:p>
      <w:r>
        <w:t>Le recourant n’a pas nié savoir que M. E______ faisait l’objet d’un communiqué de recherche de la police et d’un mandat d’arrêt contenant les mentions « armé » et « violent », puisqu’il a déclaré l’avoir menotté pour cette raison lors de son audition par l’IGS.</w:t>
      </w:r>
    </w:p>
    <w:p>
      <w:r>
        <w:t>De ce fait, en qualité d’agent de renvoi, le recourant aurait dû s’abstenir d’intervenir, n’étant pas habilité à procéder à une interpellation pour des motifs autre que le renvoi. Il a admis avoir demandé à son chef de groupe s’il pouvait organiser une opération auprès de l’OPCM pour interpeller l’individu concerné, sans toutefois mentionner le mandat pénal. Le chef de groupe du recourant, Monsieur N______ a indiqué qu’il n’aurait jamais donné son accord dans ces circonstances, ne s’agissant pas d’une opération de police des étrangers à laquelle étaient cantonnés les ASP lorsqu’ils agissaient seuls. La procédure pénale, notamment dans le cas d’individus dangereux, primait celle relative au droit des étrangers. Ces éléments ont été confirmés par Messieurs C______, O______ et P______, supérieurs hiérarchiques du recourant, entendus respectivement les 4, 5 et 6 avril 2017 par l’IGS, et ressortent du cahier des charges signé par le recourant.</w:t>
      </w:r>
    </w:p>
    <w:p>
      <w:r>
        <w:t>À cela s’ajoute que l’utilisation des feux bleus et de la sirène est réservée à la conduite en urgence, selon l’ordre de service de la police du 13 mai 1963, mis à jour le 26 octobre 2015, adopté sur les instructions du département fédéral de l’environnement des transports, de l’énergie et de la communication du</w:t>
      </w:r>
    </w:p>
    <w:p>
      <w:r>
        <w:t>- 19/23 - A/2447/2019 6 juin 2005. Or, dans le cas d’espèce, ces mesures ont été utilisées, notamment par le recourant, conducteur d’un des deux véhicules, alors qu’il n’a jamais allégué aucune urgence et que les ASP ne sont pas autorisés à utiliser ces mesures qui sont réservées aux policiers (conformément à ce qu’a confirmé M. Q______, entendu le 3 décembre 2018, dans le cadre de l’enquête administrative).</w:t>
      </w:r>
    </w:p>
    <w:p>
      <w:r>
        <w:t>En conséquence, il est établi que le recourant a violé ses devoirs de service dans le cadre de cette intervention et cela même s’il conteste l’utilisation d’armes et de violence ainsi que d’avoir tendu un piège à M. E______ en se faisant passer pour un fonctionnaire de l’OCPM.</w:t>
      </w:r>
    </w:p>
    <w:p>
      <w:r>
        <w:t>Pour ces faits qui constituent des violations graves de ses devoirs de service, le principe d’une sanction disciplinaire à l’encontre du recourant doit également être retenu. 10) Le principe d’une sanction posé, reste à examiner sa quotité, le recourant se plaignant d’une violation du principe de la proportionnalité.</w:t>
      </w:r>
    </w:p>
    <w:p>
      <w:r>
        <w:t>a. Selon la gravité de la faute, les sanctions disciplinaires suivantes peuvent être infligées au personnel de la police : a) le blâme ; b) les services hors tour ; c) la réduction de traitement pour une durée déterminée ; d) la dégradation pour une durée déterminée ; e) la révocation (art. 36 LPol).</w:t>
      </w:r>
    </w:p>
    <w:p>
      <w:r>
        <w:t>b. L’autorité qui inflige une sanction disciplinaire doit respecter le principe de la proportionnalité (arrêts du Tribunal fédéral 8C_292/2011 du 9 décembre 2011 consid. 6.2). La nature et la quotité de la sanction doivent être appropriées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(ATA/998/2019 du 11 juin 2019 consid. 6b ; ATA/118/2016 du 9 février 2016 consid. 3a ; ATA/94/2013 du 19 février 2013 consid. 15 et la jurisprudence citée).</w:t>
      </w:r>
    </w:p>
    <w:p>
      <w:r>
        <w:t>Traditionnellement,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1P.269/2001 du 7 juin 2001 consid. 2c).</w:t>
      </w:r>
    </w:p>
    <w:p>
      <w:r>
        <w:t>- 20/23 - A/2447/2019</w:t>
      </w:r>
    </w:p>
    <w:p>
      <w:r>
        <w:t>c. En matière de sanctions disciplinaires, l’autorité dispose d’un large pouvoir d’appréciation ; le pouvoir d’examen de la chambre de céans se limite à l’excès ou à l’abus du pouvoir d’appréciation (art. 61 al. 2 LPA ; ATA/118/2019 précité et la jurisprudence citée).</w:t>
      </w:r>
    </w:p>
    <w:p>
      <w:r>
        <w:t>La révocation disciplinaire, qui est la sanction la plus lourde prévue par la loi, implique une faute grave, soit une violation particulièrement grave d'un devoir de service (ATA/137/2020 précité ; ATA/1287/2019 du 27 août 2019 et les références citées). Cette mesure revêt l'aspect d'une peine et a un certain caractère infamant vu sa nature. Elle s'impose surtout dans les cas où le comportement de l'agent démontre qu'il n'est plus digne de rester en fonction (arrêt du Tribunal fédéral 8C_324/2017 du 22 février 2018 consid. 5.2.2 ; ATA/1476/2019 du 8 octobre 2019).</w:t>
      </w:r>
    </w:p>
    <w:p>
      <w:r>
        <w:t>d. Parmi les motifs propres à justifier une révocation disciplinaire, on peut mentionner, à titre d'exemple, la violation du secret de fonction dans un domaine sensible, l'abus des pouvoirs de la fonction, l'indication fausse des heures de travail ou des irrégularités dans le cadre de l'enregistrement du temps de travail, l'alcoolisme ou encore le vol (arrêt du Tribunal fédéral 8C_203/2010 du 1er mars 2011 consid. 3.5 et les références citées).</w:t>
      </w:r>
    </w:p>
    <w:p>
      <w:r>
        <w:t>La chambre de céans a notamment confirmé la révocation : d'un huissier- chef ayant transmis des documents à des tiers non autorisés, omis de cadrer une subordonnée et adopté d'autres comportements problématiques (ATA/1287/2019 précité) ; d'un intervenant en protection de l'enfant ayant entretenu une relation intime avec la mère des enfants dont il était en charge (ATA/913/2019 du 21 mai 2019 confirmé par l'arrêt du Tribunal fédéral 8C_448/2019 du 20 novembre 2019) ; d'un employé administratif au sein de la police ayant fait usage des outils informatiques mis à sa disposition par son employeur pour satisfaire sa curiosité personnelle et transmettre des données confidentielles à des tiers (ATA/56/2019 du 22 janvier 2019, actuellement pendant devant le Tribunal fédéral) ; d'un fonctionnaire ayant dérobé de la nourriture dans les cuisines d'un établissement hospitalier (ATA/118/2016 du 9 février 2016) ; d'un policier ayant frappé un citoyen lors de son audition, alors que ce dernier était menotté et maîtrisé (ATA/446/2013 du 30 juillet 2013, confirmé par l'arrêt du Tribunal fédéral 8C_679/2013 du 7 juillet 2014) ; d'un fonctionnaire ayant insulté, menacé et empoigné un collègue dans un cadre professionnel (ATA/531/2011 du 30 août 2011) ; d'un fonctionnaire ayant exercé des pressions psychologiques et physiques, eu une attitude déplacée et des menaces à l'endroit de collègues de travail, et entretenu des relations intimes avec certaines d'entre elles, alors qu'il était chargé de leur formation (ATA/39/2010 du 26 janvier 2010, confirmé par l'arrêt du Tribunal fédéral 8C_239/2010 du 9 mai 2011) ; d'un fonctionnaire ayant fréquemment et régulièrement consulté des sites érotiques et pornographiques depuis son poste de travail, malgré une mise en garde préalable et nonobstant la</w:t>
      </w:r>
    </w:p>
    <w:p>
      <w:r>
        <w:t>- 21/23 - A/2447/2019 qualité du travail accompli (ATA/618/2010 du 7 septembre 2010). Elle a également confirmé la révocation d'un enseignant qui avait ramené une prostituée à l'hôtel où logeaient ses élèves, lors d'un voyage de classe, organisé sur son lieu de travail et pendant ses heures de service une rencontre à caractère sexuel avec un jeune homme dont il n'avait pas vérifié l'âge réel et dont il ignorait l'activité, puis menacé ce dernier (ATA/605/2011 du 27 septembre 2011).</w:t>
      </w:r>
    </w:p>
    <w:p>
      <w:r>
        <w:t>La chambre administrative a annulé la révocation et ordonné la réintégration, en l'absence de violation des devoirs de service d'un fonctionnaire, pour lequel l'autorité d'engagement n'avait pas pu établir qu'il s'était rendu coupable de faux, seul fait à la base de la décision (ATA/911/2015 du 8 septembre 2015), ou dans le cas d'une fonctionnaire au motif que l'autorité avait renoncé à statuer sur le plan disciplinaire pendant plus d'une année, laissant l'intéressée dans l'incertitude sur sa situation, ce qui allait à l'encontre des principes du droit disciplinaire (ATA/1235/2018 du 20 novembre 2018).</w:t>
      </w:r>
    </w:p>
    <w:p>
      <w:r>
        <w:t>e. Une décision de révocation avec effet immédiat peut cependant agir rétroactivement au jour de l’ouverture de l’enquête administrative (art. 39 al. 3 LPol).</w:t>
      </w:r>
    </w:p>
    <w:p>
      <w:r>
        <w:t>En l’espèce, vu la gravité objective des violations des devoirs de service lesquelles ont été réalisées intentionnellement par le recourant et, pour certaines, à plusieurs reprises, la sanction disciplinaire la plus sévère s’avère justifiée.</w:t>
      </w:r>
    </w:p>
    <w:p>
      <w:r>
        <w:t>La sanction prononcée est proportionnée aux buts d'intérêt public visés, soit le bon fonctionnement des services de l’État et la confiance que doivent pouvoir placer les citoyens dans la fonction publique. La révocation est apte à atteindre le but voulu et nécessaire compte tenu de la rupture du lien de confiance de l'employeur au vu de la gravité des faits reprochés. Aucune autre mesure moins incisive que la révocation ne permettrait d'atteindre les objectifs visés.</w:t>
      </w:r>
    </w:p>
    <w:p>
      <w:r>
        <w:t>Vu ce qui précède, il n’est pas besoin d’examiner plus avant si les nombreuses autres violations des devoirs de service retenues dans la décision litigieuse, doivent également être considérée comme établies.</w:t>
      </w:r>
    </w:p>
    <w:p>
      <w:r>
        <w:t>Le grief sera donc écarté.</w:t>
      </w:r>
    </w:p>
    <w:p>
      <w:r>
        <w:t>11) Le recourant se plaint d’une violation du principe de l’égalité de traitement, ses coprévenus dans l’interpellation de M. E______ n’ayant pas subi les mêmes sanctions disciplinaires.</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w:t>
      </w:r>
    </w:p>
    <w:p>
      <w:r>
        <w:t>- 22/23 - A/2447/2019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131 I 1 consid. 4.2 ; 129 I 346 consid. 6 ; Vincent MARTENET, Géométrie de l'égalité, Zurich- Bâle-Genève 2003, p. 260 ss).</w:t>
      </w:r>
    </w:p>
    <w:p>
      <w:r>
        <w:t>En l'espèce, les situations des collègues du recourant ne sont pas identiques et ne peuvent être comparées. Dans l’interpellation de M. E______, le recourant avait la responsabilité du dossier et c’est lui qui a demandé à ses collègues de l’accompagner. En outre, ce n’est pas uniquement lors de cette interpellation que le recourant a commis des violations graves de ses devoirs de service. Le grief n'est donc pas fondé. 12) En tous points infondé, le recours sera rejeté, et la révocation du recourant, avec effet au jour de l’ouverture de l’enquête administrative, le 23 avril 2017, confirmée. 13) Vu l’issue du litige, un émolument de CHF 1'500.-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