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ATA/860/2003 vom 25. November 2003</w:t>
      </w:r>
    </w:p>
    <w:p>
      <w:r>
        <w:t>GE Cour de justice, 2003-11-25, FR</w:t>
      </w:r>
    </w:p>
    <w:p>
      <w:r>
        <w:rPr>
          <w:b/>
        </w:rPr>
        <w:t xml:space="preserve">Quelle: </w:t>
      </w:r>
      <w:r>
        <w:t>https://mcp.opencaselaw.ch/entscheid/ge_gerichte_ATA_860_2003</w:t>
      </w:r>
    </w:p>
    <w:p>
      <w:r>
        <w:t>FR: GE_GERICHTE ATA/860/2003 du 25 novembre 2003</w:t>
      </w:r>
    </w:p>
    <w:p>
      <w:r>
        <w:t>IT: GE_GERICHTE ATA/860/2003 del 25 novembre 2003</w:t>
      </w:r>
    </w:p>
    <w:p>
      <w:pPr>
        <w:pStyle w:val="Heading2"/>
      </w:pPr>
      <w:r>
        <w:t>Regeste</w:t>
      </w:r>
    </w:p>
    <w:p>
      <w:r>
        <w:t>Résumé: Recours partiellement admis contre la construction d'une antenne pour téléphonie mobile en remplacement d'un mât d'éclairage en zone sportive, autorisée par la voie de la procédure accélérée. La construction litigieuse nécessitait une dérogation au régime d'affectation de la zone. La procédure adoptée ne permettait pas de respecter les garanties offertes par la loi aux administrés ni les exigences de l'aménagement du territoire. L'autorisation est dès lors entachée d'un vice particulièrement grave constitutif de nullité.</w:t>
      </w:r>
    </w:p>
    <w:p>
      <w:pPr>
        <w:pStyle w:val="Heading2"/>
      </w:pPr>
      <w:r>
        <w:t>Erwägungen</w:t>
      </w:r>
    </w:p>
    <w:p>
      <w:r>
        <w:rPr>
          <w:b/>
        </w:rPr>
        <w:t>E. 1</w:t>
      </w:r>
    </w:p>
    <w:p>
      <w:r>
        <w:t>Interjeté dans les trente jours après que le département a refusé d'ordonner les mesures requises, le recours est recevable d'un point de vue temporel.</w:t>
      </w:r>
    </w:p>
    <w:p>
      <w:r>
        <w:rPr>
          <w:b/>
        </w:rPr>
        <w:t>E. 2</w:t>
      </w:r>
    </w:p>
    <w:p>
      <w:r>
        <w:t>Selon l'article 150 de la loi sur les constructions et les installations diverses du 14 avril</w:t>
      </w:r>
    </w:p>
    <w:p>
      <w:r>
        <w:t>- 7 -</w:t>
      </w:r>
    </w:p>
    <w:p>
      <w:r>
        <w:t>1988 (LCI - L 5 05), lorsque des travaux sont entrepris sans autorisation, le recours contre la mesure ou la sanction doit être formé au Tribunal administratif. La compétence du tribunal de céans dépend donc de la nullité éventuelle de l'APA n° 18'550-6.</w:t>
      </w:r>
    </w:p>
    <w:p>
      <w:r>
        <w:rPr>
          <w:b/>
        </w:rPr>
        <w:t>E. 3</w:t>
      </w:r>
    </w:p>
    <w:p>
      <w:r>
        <w:t>La nullité d'une décision n'est admise que si le vice dont elle est entachée est particulièrement grave, est manifeste ou du moins facilement décelable et si, en outre, la constatation de la nullité ne met pas sérieuse- ment en danger la sécurité du droit (ATF 122 I 97, 99). Il convient de déterminer si la construction de l'installation de téléphonie mobile pouvait être autorisée en zone sportive sans enquête publique par la voie de la procédure accélérée.</w:t>
      </w:r>
    </w:p>
    <w:p>
      <w:r>
        <w:rPr>
          <w:b/>
        </w:rPr>
        <w:t>E. 4</w:t>
      </w:r>
    </w:p>
    <w:p>
      <w:r>
        <w:t>Les zones sportives sont destinées à des terrains de sports et aux installations liées à la pratique du sport, conformément à l'article 24 alinéa 4 LaLAT. Située à l'extérieur de l'agglomération urbaine, cette zone constitue une zone de non bâtir au sens du droit fédéral (SJ 1991 596). Selon l'article 26 alinéas 1 et 2 LaLAT, une dérogation à l'affectation de la zone est admissible, si après une enquête publique, le département estime que les circonstances le justifient, qu'il n'en résulte pas d'inconvénients graves pour le voisinage, que l'emplacement de la construction prévue est imposé par sa destination, et qu'elle ne lèse aucun intérêt prépondérant, notamment du point de vue de la protection de la nature et des sites et du maintien de la surface utile pour l'exploitation agricole.</w:t>
      </w:r>
    </w:p>
    <w:p>
      <w:r>
        <w:rPr>
          <w:b/>
        </w:rPr>
        <w:t>E. 5</w:t>
      </w:r>
    </w:p>
    <w:p>
      <w:r>
        <w:t>L'installation autorisée par l'APA n° 18'550-6 ne consiste pas dans le simple remplacement de l'ancien mât d'éclairage du stade. Les dimensions et la destination du mât ancien et nouveau sont différentes. De plus, l'installation de téléphonie mobile ne comporte pas qu'un mât. Elle implique l'aménagement de plusieurs construc- tions annexes comprenant les installations techniques nécessaires au bon fonctionnement des antennes. Le transport sur place effectué par le Tribunal a permis de constater l'importance de ces installations techniques et les différences importantes entre les anciens mâts et la nouvelle antenne. Une telle antenne de téléphonie mobile n'est pas liée à la pratique du sport et n'est donc pas conforme à l'affectation de la zone sportive même si elle comporte également des lampes destinées à éclairer le stade. Ces lampes ont un caractère accessoire par rapport aux installations techniques utilisées pour la</w:t>
      </w:r>
    </w:p>
    <w:p>
      <w:r>
        <w:t>- 8 -</w:t>
      </w:r>
    </w:p>
    <w:p>
      <w:r>
        <w:t>téléphonie.</w:t>
      </w:r>
    </w:p>
    <w:p>
      <w:r>
        <w:t>En conséquence, l'autorisation de construire l'installation de téléphonie ne pouvait être accordée sans l'octroi simultané d'une dérogation à l'affectation au régime des zones au sens de l'article 26 LaLAT. Une telle dérogation fait défaut en l'espèce.</w:t>
      </w:r>
    </w:p>
    <w:p>
      <w:r>
        <w:rPr>
          <w:b/>
        </w:rPr>
        <w:t>E. 6</w:t>
      </w:r>
    </w:p>
    <w:p>
      <w:r>
        <w:t>En outre, le département a délivré l'autorisation requise en utilisant la procédure accélérée prévue par l'article 3 alinéa 7 LCI. Le tribunal de céans a défini de manière précise le champ de cette norme (ATA C. du 10 septembre 2002). Cette disposition vise uniquement trois situations dans lesquelles la procédure accélérée ne comportant pas d'enquête publique est admissible. En pre- mier lieu, il peut s'agir de travaux portant sur la modi- fication intérieure du bâtiment existant ou ne modifiant pas l'aspect général de celui-ci. Cette condition n'est en l'espèce pas remplie, attendu que le projet porte sur le changement d'un mât d'éclairage avec des modifications importantes de ses dimensions et la création d'installa- tions techniques nouvelles. En deuxième lieu, il peut s'agir d'une construction nouvelle de peu d'importance ou provisoire. Ce terme de l'alternative peut être écarté dans la mesure où le mât a un caractère durable et qu'il ne peut être considéré comme une construction de peu d'importance vu ses dimensions. Enfin et à titre excep- tionnel, cette procédure peut être adoptée pour des tra- vaux de reconstruction présentant un caractère d'urgence, ce qui, en l'espèce, ne ressort pas du dossier. La procé- dure d'autorisation accélérée n'était pas admissible.</w:t>
      </w:r>
    </w:p>
    <w:p>
      <w:r>
        <w:rPr>
          <w:b/>
        </w:rPr>
        <w:t>E. 7</w:t>
      </w:r>
    </w:p>
    <w:p>
      <w:r>
        <w:t>Le Tribunal administratif a déjà eu l'occasion de relever que la publication des demandes d'autorisation (art. 3 al. 1 LCI) compte au nombre des dispositions impératives de droit public (ATA. W. du 4 septembre 1974 in RDAF 1975, pp. 33ss, notamment 39 consid. 5). Dans la cause précitée, le Tribunal administratif a jugé que l'omission de l'enquête publique, avant l'octroi d'une dérogation entraînait la nullité de l'autorisation délivrée. Le fait que d'autres publications soient prévues par la loi ne saurait modifier la gravité des vices sans enlever aux prescriptions de droit public contenues dans la LCI leur caractère impératif. Le tribunal de céans a estimé qu'il était d'intérêt public de priver l'acte vicié de tout effet juridique en raison de l'importance qu'il y avait de ne porter aucune atteinte aux garanties offertes par le législateur à des administrés, notamment dans l'exercice ou pour la</w:t>
      </w:r>
    </w:p>
    <w:p>
      <w:r>
        <w:t>- 9 -</w:t>
      </w:r>
    </w:p>
    <w:p>
      <w:r>
        <w:t>protection de l'endroit de propriété ou de voisinage. Cette jurisprudence rigoureuse a été approuvée par la doctrine (T. TANQUEREL, La participation de la population à l'aménagement du territoire, 1988, p. 321). Dans une autre affaire, le Tribunal administratif a également considéré qu'une procédure d'APA appliquée à tort était de nature à empêcher toute opposition émanant des voisins et des tiers concernés, ce qui entraînait la nullité de l'autorisation y relative (ATA D. du 16 mai 2000).</w:t>
      </w:r>
    </w:p>
    <w:p>
      <w:r>
        <w:rPr>
          <w:b/>
        </w:rPr>
        <w:t>E. 8</w:t>
      </w:r>
    </w:p>
    <w:p>
      <w:r>
        <w:t>La procédure accélérée présentement appliquée était de nature à empêcher toute opposition émanant des voisins et des tiers concernés. La demande d'autorisation n'a pas été rendue publique par une insertion dans la Feuille d'Avis Officielle (art. 3 al. 1 LCI). Même s'ils sont domiciliés sur le territoire de la commune et pouvaient éventuellement avoir connaissance de ce projet de construction, les recourants n'ont pas pu participer pleinement à la procédure d'opposition; il ne ressort pas du dossier que les recourants aient pu consulter la demande d'autorisation et les plans (art. 3 al. 2 LCI). De plus, la souplesse de la procédure accélérée ne convient assurément pas à la construction projetée qui, au vu de son importance, nécessitait, non seulement une dérogation au régime d'affectation de la zone, mais aussi une instruction ordinaire seule apte à assurer la compatibilité du projet avec les exigences de l'aménagement du territoire.</w:t>
      </w:r>
    </w:p>
    <w:p>
      <w:r>
        <w:rPr>
          <w:b/>
        </w:rPr>
        <w:t>E. 9</w:t>
      </w:r>
    </w:p>
    <w:p>
      <w:r>
        <w:t>Le projet a été instruit selon une procédure qui ne permettait de respecter ni les garanties offertes par le législateur aux administrés, ni les exigences de l'aménagement du territoire. La décision y relative est donc affectée d'un vice particulièrement grave, étant donné qu'elle a été prise en violation de règles essentielles de procédure.</w:t>
      </w:r>
    </w:p>
    <w:p>
      <w:r>
        <w:rPr>
          <w:b/>
        </w:rPr>
        <w:t>E. 10</w:t>
      </w:r>
    </w:p>
    <w:p>
      <w:r>
        <w:t>La non-conformité à l'affectation de la zone était manifestement décelable dans la mesure où une installation de téléphonie mobile n'a aucun rapport avec la pratique du sport. Il en va de même de l'ampleur de l'objet de la requête qui dépassait les limites admises par le législateur pour les procédures accélérées.</w:t>
      </w:r>
    </w:p>
    <w:p>
      <w:r>
        <w:rPr>
          <w:b/>
        </w:rPr>
        <w:t>E. 11</w:t>
      </w:r>
    </w:p>
    <w:p>
      <w:r>
        <w:t>La nullité est de nature à provoquer un dommage à Orange dans la mesure où les travaux de construction de l'antenne sont achevés. Toutefois, Orange a la faculté de déposer une requête en autorisation ordinaire avec une demande de dérogation au régime de la zone sportive. Si</w:t>
      </w:r>
    </w:p>
    <w:p>
      <w:r>
        <w:t>- 10 -</w:t>
      </w:r>
    </w:p>
    <w:p>
      <w:r>
        <w:t>l'antenne remplit les exigences légales, sa construction devra être autorisée et Orange ne subira alors aucun préjudice irréparable. Dans l'attente de l'issue de la procédure ordinaire d'autorisation de construire, Orange doit pouvoir utiliser l'installation litigieuse. Les limites de rayonnement fixées par l'ORNI étant respectées, aucun motif prépondérant ne justifie un arrêt de l'installation.</w:t>
      </w:r>
    </w:p>
    <w:p>
      <w:r>
        <w:rPr>
          <w:b/>
        </w:rPr>
        <w:t>E. 12</w:t>
      </w:r>
    </w:p>
    <w:p>
      <w:r>
        <w:t>En conséquence, le tribunal de céans constatera la nullité de l'autorisation APA 18'550-6. En l'absence d'autorisation le recours est recevable en application de l'article 150 LCI. Il appartient à Orange de requérir une autorisation par une procédure ordinaire.</w:t>
      </w:r>
    </w:p>
    <w:p>
      <w:r>
        <w:rPr>
          <w:b/>
        </w:rPr>
        <w:t>E. 13</w:t>
      </w:r>
    </w:p>
    <w:p>
      <w:r>
        <w:t>L'autorisation étant nulle, les recourants n'ont pas agi tardivement.</w:t>
      </w:r>
    </w:p>
    <w:p>
      <w:r>
        <w:rPr>
          <w:b/>
        </w:rPr>
        <w:t>E. 14</w:t>
      </w:r>
    </w:p>
    <w:p>
      <w:r>
        <w:t>En ce qui concerne la qualité pour recourir, la jurisprudence a indiqué que seuls ceux dont les intérêts sont lésés de façon directe et spéciale ont l'intérêt particulier requis. Cette lésion directe et spéciale suppose qu'il y a une communauté de fait entre les intérêts du destinataire de la décision et ceux des tiers (ATA M. du 9 décembre 1997). Les recourants sont des voisins directs de l'installation de téléphonie mobile. Ils sont domiciliés soit le long du chemin de Machéry au bord duquel est construite l'installation, soit le long de l'avenue de Tournay qui est perpendiculaire à ce chemin. En raison de leur proximité par rapport à l'installation litigieuse, les recourants ont la qualité pour recourir au sens de l'article 60 lettre b LPA.</w:t>
      </w:r>
    </w:p>
    <w:p>
      <w:r>
        <w:rPr>
          <w:b/>
        </w:rPr>
        <w:t>E. 15</w:t>
      </w:r>
    </w:p>
    <w:p>
      <w:r>
        <w:t>Pour ces motifs, le recours est recevable à la forme.</w:t>
      </w:r>
    </w:p>
    <w:p>
      <w:r>
        <w:rPr>
          <w:b/>
        </w:rPr>
        <w:t>E. 16</w:t>
      </w:r>
    </w:p>
    <w:p>
      <w:r>
        <w:t>Quant au fond, il n'est pas nécessaire d'examiner les griefs des recourants, vu la nullité de l'autorisation APA n° 18'550-6.</w:t>
      </w:r>
    </w:p>
    <w:p>
      <w:r>
        <w:rPr>
          <w:b/>
        </w:rPr>
        <w:t>E. 17</w:t>
      </w:r>
    </w:p>
    <w:p>
      <w:r>
        <w:t>Le recours étant admis, un émolument de CHF 2'000.- sera mis à la charge d'Orange (art. 87 LPA). Une indemnité de CHF 3'000.- sera allouée aux recourants, à la charge d'Orange, de l'Etat et de la commune du Grand-Saconnex.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