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ATA/85/2011 vom 8. Februar 2011</w:t>
      </w:r>
    </w:p>
    <w:p>
      <w:r>
        <w:t>GE Cour de justice, 2011-02-08, FR</w:t>
      </w:r>
    </w:p>
    <w:p>
      <w:r>
        <w:rPr>
          <w:b/>
        </w:rPr>
        <w:t xml:space="preserve">Quelle: </w:t>
      </w:r>
      <w:r>
        <w:t>https://mcp.opencaselaw.ch/entscheid/ge_gerichte_ATA_85_2011</w:t>
      </w:r>
    </w:p>
    <w:p>
      <w:r>
        <w:t>FR: GE_GERICHTE ATA/85/2011 du 8 février 2011</w:t>
      </w:r>
    </w:p>
    <w:p>
      <w:r>
        <w:t>IT: GE_GERICHTE ATA/85/2011 del 8 febbraio 2011</w:t>
      </w:r>
    </w:p>
    <w:p>
      <w:pPr>
        <w:pStyle w:val="Heading2"/>
      </w:pPr>
      <w:r>
        <w:t>Erwägungen</w:t>
      </w:r>
    </w:p>
    <w:p>
      <w:r>
        <w:rPr>
          <w:b/>
        </w:rPr>
        <w:t>E. 1</w:t>
      </w:r>
    </w:p>
    <w:p>
      <w:r>
        <w:t>Depuis le 1er janvier 2011, suite à l'entrée en vigueur de la loi sur l'organisation judiciaire du 26 septembre 2010 (LOJ - E 2 05), l'ensemble des compétences jusqu'alors dévolues au Tribunal administratif ont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en vigueur jusqu'au 31 décembre 2010 - aLOJ - E 2 05 ; art. 63 al. 1 let. a LPA - E 5 10, dans sa teneur en vigueur jusqu'au 31 décembre 2010).</w:t>
      </w:r>
    </w:p>
    <w:p>
      <w:r>
        <w:rPr>
          <w:b/>
        </w:rPr>
        <w:t>E. 3</w:t>
      </w:r>
    </w:p>
    <w:p>
      <w:r>
        <w:t>a. L'art. 9 al. 1 LPA dispose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w:t>
      </w:r>
    </w:p>
    <w:p>
      <w:r>
        <w:t>- 6/10 - A/2191/2009</w:t>
      </w:r>
    </w:p>
    <w:p>
      <w:r>
        <w:t>Par cette disposition, reprise de la loi genevoise instituant un code de procédure administrative du 6 décembre 1968, le législateur cantonal a manifesté clairement son intention de ne pas réserver le monopole de représentation aux avocats en matière administrative, dans la mesure où un nombre important de recours exigent moins de connaissances juridiques que de qualifications techniques (Mémorial des séances du Grand Conseil 1968, p. 3027 ; ATA/619/2008 du 9 décembre 2008).</w:t>
      </w:r>
    </w:p>
    <w:p>
      <w:r>
        <w:t>Les mandataires doivent néanmoins être qualifiés, c'est-à-dire qu'ils doivent disposer de connaissances suffisantes dans le domaine du droit dans lequel ils prétendent être à même de représenter une partie.</w:t>
      </w:r>
    </w:p>
    <w:p>
      <w:r>
        <w:t>b. Conformément à la jurisprudence de la chambre administrative, l'aptitude à agir comme mandataire professionnellement qualifié doit être examinée de cas en cas, au regard de la cause dont il s'agit, ainsi que de la formation et de la pratique de celui qui entend représenter une partie à la procédure. La chambre de céans a ainsi dénié la qualité de mandataire professionnellement qualifié dans une cause relevant de la police des constructions et de l'aménagement du territoire à un agent d'affaires breveté qui ne bénéficiait d'aucune formation ou pratique quelconque dans ce domaine. Le Tribunal fédéral a confirmé cet arrêt en relevant qu'il convenait de se montrer exigeant quant à la preuve de la qualification requise d'un mandataire aux fins de représenter une partie devant la chambre administrative, dans l'intérêt bien compris de celle-ci et de la bonne administration de la justice (ATF 125 I 166 consid. 2b/bb p. 169 ; Arrêt du Tribunal fédéral 1P.416/2004 du 28 septembre 2004 confirmant l'ATA/418/2004 du 18 mai 2004). Ainsi, pour recevoir cette qualification, les mandataires doivent disposer de connaissances suffisantes dans le domaine du droit dans lequel ils prétendent être à même de représenter une partie (ATA/108/2010 du 16 février 2010 ; ATA/330/2005 du 10 mai 2005).</w:t>
      </w:r>
    </w:p>
    <w:p>
      <w:r>
        <w:t>c. En l’occurrence, la chambre de céans laissera ouverte la question de la qualité de mandataire professionnel qualifié du représentant de M. C______, dès lors qu’il a été autorisé par le TAPI à le représenter et vu l’objet et l’issue du litige.</w:t>
      </w:r>
    </w:p>
    <w:p>
      <w:r>
        <w:rPr>
          <w:b/>
        </w:rPr>
        <w:t>E. 4</w:t>
      </w:r>
    </w:p>
    <w:p>
      <w:r>
        <w:t>Selon l'art. 61 al. 1 let. a LPA, le recours peut être formé pour violation du droit, y compris l'excès et l'abus du pouvoir d'appréciation. La chambre de céans ne peut ainsi pas revoir l'opportunité de la décision litigieuse (art. 61 al. 2 LPA).</w:t>
      </w:r>
    </w:p>
    <w:p>
      <w:r>
        <w:rPr>
          <w:b/>
        </w:rPr>
        <w:t>E. 5</w:t>
      </w:r>
    </w:p>
    <w:p>
      <w:r>
        <w:t>Aux termes de l'art. 1 al. 1 let. a de la loi sur les constructions et les installations diverses du 14 avril 1988 (LCI - L 5 05), nul ne peut, sur tout le territoire du canton, élever en tout ou partie une construction ou une installation, notamment une villa, un garage, un hangar, un mur, une clôture ou un portail sans y avoir été autorisé.</w:t>
      </w:r>
    </w:p>
    <w:p>
      <w:r>
        <w:t>- 7/10 - A/2191/2009</w:t>
      </w:r>
    </w:p>
    <w:p>
      <w:r>
        <w:t>En vertu des art. 129 let. e et 130 LCI, le DCTI peut ordonner la remise en l'état, la réparation, la modification, la suppression ou la démolition d'une construction ou d'une installation non conforme aux prescriptions de la LCI, aux règlements qu'elle prévoit ou aux autorisations délivrées en application de ces dispositions légales ou réglementaires.</w:t>
      </w:r>
    </w:p>
    <w:p>
      <w:r>
        <w:rPr>
          <w:b/>
        </w:rPr>
        <w:t>E. 6</w:t>
      </w:r>
    </w:p>
    <w:p>
      <w:r>
        <w:t>De jurisprudence constante (ATF 111 Ib 221, consid 6 ; ATA/625/2009 du 1er décembre 2009), pour être valable, un ordre de mise en conformité doit respecter les conditions suivantes :</w:t>
      </w:r>
    </w:p>
    <w:p>
      <w:r>
        <w:t>- l'ordre doit être dirigé contre le perturbateur (ATF 114 Ib 47-48 ; ATF 107 Ia 23) ;</w:t>
      </w:r>
    </w:p>
    <w:p>
      <w:r>
        <w:t>- les installations en cause ne doivent pas avoir été autorisées en vertu du droit en vigueur au moment de leur réalisation (ATF 104 Ib 304 ; ATA/83/2009 du 17 février 2009) ;</w:t>
      </w:r>
    </w:p>
    <w:p>
      <w:r>
        <w:t>- un délai de plus de trente ans ne doit pas s'être écoulé depuis l'exécution des travaux litigieux (ATF 107 Ia 121 = JdT 1983 I 299) ;</w:t>
      </w:r>
    </w:p>
    <w:p>
      <w:r>
        <w:t>- l'autorité ne doit pas avoir créé chez l'administré concerné, par des promesses, des informations, des assurances ou un comportement, des conditions telles qu'elle ne serait pas liée par la bonne foi (ATF 117 Ia 287 consid 2b ; ATA/83/2009 précité ; B. KNAPP, Précis de droit administratif, 4ème éd. 1991, n° 509, p. 108) ;</w:t>
      </w:r>
    </w:p>
    <w:p>
      <w:r>
        <w:t>- l'intérêt public au rétablissement d'une situation conforme au droit doit l'emporter sur l'intérêt privé de l'intéressé au maintien des installations litigieuses (ATA/152/2010 du 9 mars 2010 et ATA/887/2004 du 16 novembre 2004).</w:t>
      </w:r>
    </w:p>
    <w:p>
      <w:r>
        <w:t>En l'espèce, seule la première des conditions précitées est litigieuse.</w:t>
      </w:r>
    </w:p>
    <w:p>
      <w:r>
        <w:rPr>
          <w:b/>
        </w:rPr>
        <w:t>E. 7</w:t>
      </w:r>
    </w:p>
    <w:p>
      <w:r>
        <w:t>a.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Ia 19, consid. 2 a et b ; Arrêts du Tribunal fédéral 6B_642/2008 du 9 janvier 2009 et 1P.602/2005 du 14 décembre 2006 ; ATA/152/2010 du</w:t>
      </w:r>
    </w:p>
    <w:p>
      <w:r>
        <w:rPr>
          <w:b/>
        </w:rPr>
        <w:t>E. 9</w:t>
      </w:r>
    </w:p>
    <w:p>
      <w:r>
        <w:t>Toutes les conditions d'une mise en conformité, soit d'un ordre de rétablir un état conforme au droit, sont remplies.</w:t>
      </w:r>
    </w:p>
    <w:p>
      <w:r>
        <w:t>Cet ordre respecte le principe de la proportionnalité et l'intérêt public à rétablir une situation conforme au droit justifie pleinement la mesure querellée (Arrêts du Tribunal fédéral 1C_136/2009 du 4 novembre 2009 consid. 6.1 ; 1A.180/2002 du 19 novembre 2002, consid. 3.1, publié in SJ 2003 I p. 271 ; ATF 123 II 248 consid. 4 p. 255).</w:t>
      </w:r>
    </w:p>
    <w:p>
      <w:r>
        <w:rPr>
          <w:b/>
        </w:rPr>
        <w:t>E. 10</w:t>
      </w:r>
    </w:p>
    <w:p>
      <w:r>
        <w:t>Le DCTI n'a ni violé la loi ni abusé de son pouvoir d'appréciation en adressant un ordre de démolition du mur litigieux au recourant et c’est à juste titre que la commission l’a confirmé dans sa décision du 29 janvier 2010.</w:t>
      </w:r>
    </w:p>
    <w:p>
      <w:r>
        <w:rPr>
          <w:b/>
        </w:rPr>
        <w:t>E. 11</w:t>
      </w:r>
    </w:p>
    <w:p>
      <w:r>
        <w:t>Au vu de ce qui précède, le recours sera rejeté.</w:t>
      </w:r>
    </w:p>
    <w:p>
      <w:r>
        <w:t>- 9/10 - A/2191/2009</w:t>
      </w:r>
    </w:p>
    <w:p>
      <w:r>
        <w:t>Un émolument de CHF 500.- sera mis à la charge de M. C______.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