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ATA/858/2016 vom 11. Oktober 2016</w:t>
      </w:r>
    </w:p>
    <w:p>
      <w:r>
        <w:t>GE Cour de justice, 2016-10-11, FR</w:t>
      </w:r>
    </w:p>
    <w:p>
      <w:r>
        <w:rPr>
          <w:b/>
        </w:rPr>
        <w:t xml:space="preserve">Quelle: </w:t>
      </w:r>
      <w:r>
        <w:t>https://mcp.opencaselaw.ch/entscheid/ge_gerichte_ATA_858_2016</w:t>
      </w:r>
    </w:p>
    <w:p>
      <w:r>
        <w:t>FR: GE_GERICHTE ATA/858/2016 du 11 octobre 2016</w:t>
      </w:r>
    </w:p>
    <w:p>
      <w:r>
        <w:t>IT: GE_GERICHTE ATA/858/2016 del 11 ottobre 2016</w:t>
      </w:r>
    </w:p>
    <w:p>
      <w:pPr>
        <w:pStyle w:val="Heading2"/>
      </w:pPr>
      <w:r>
        <w:t>Regeste</w:t>
      </w:r>
    </w:p>
    <w:p>
      <w:r>
        <w:t>Résumé: Le recourant, administrateur unique d'une société qu'il a fondée, sollicitait une autorisation de séjour pour travailleur indépendant relative à son activité au sein de ladite société. Celle-ci a été déclarée en faillite en fin de procédure de sorte que le recours contre le jugement du TAPI refusant l'octroi de l'autorisation de séjour est devenu sans objet.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est, sur ces points,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litige porte sur le refus de l'OCIRT d'accorder à M. A______ une autorisation de séjour à l'année, de type permis B, avec activité lucrative indépendante au sein de D______.</w:t>
      </w:r>
    </w:p>
    <w:p>
      <w:r>
        <w:rPr>
          <w:b/>
        </w:rPr>
        <w:t>E. 3</w:t>
      </w:r>
    </w:p>
    <w:p>
      <w:r>
        <w:t>a. À teneur de l’art. 60 let. a et b LPA, les parties à la procédure qui a abouti à la décision attaquée et toute personne qui est touchée directement par une décision et a un intérêt personnel digne de protection à ce qu’elle soit annulée ou modifiée, sont titulaires de la qualité pour recourir (ATA/4/2014 du 7 janvier 2014 consid. 6a ; ATA/343/2012 du 5 juin 2012 consid. 2 et les références citées).</w:t>
      </w:r>
    </w:p>
    <w:p>
      <w:r>
        <w:t>La chambre administrative a déjà jugé que les lettres a et b de la disposition précitée doivent se lire en parallèle : ainsi, le particulier qui ne peut faire valoir un intérêt digne de protection ne saurait être admis comme partie recourante, même s’il était partie à la procédure de première instance (ATA/4/2014 précité consid. 6a).</w:t>
      </w:r>
    </w:p>
    <w:p>
      <w:r>
        <w:t>- 7/10 - A/3267/2015</w:t>
      </w:r>
    </w:p>
    <w:p>
      <w:r>
        <w:t>b. Selon la jurisprudence constante, le recourant doit avoir un intérêt pratique à l'admission du recours, soit que cette admission soit propre à lui procurer un avantage, de nature économique, matérielle ou idéale (ATF 121 II 39 consid. 2c/aa).</w:t>
      </w:r>
    </w:p>
    <w:p>
      <w:r>
        <w:t>Un intérêt digne de protection suppose un intérêt actuel à obtenir l’annulation de la décision attaquée (ATF 135 I 79 consid. 1). L’existence d’un intérêt actuel s’apprécie non seulement au moment du dépôt du recours, mais aussi lors du prononcé de la décision sur recours ; s’il s’éteint pendant la procédure, le recours, devenu sans objet, doit être simplement radié du rôle (ATF 125 V 373 consid. 1) ou déclaré irrecevable (ATF 123 II 285 consid. 4).</w:t>
      </w:r>
    </w:p>
    <w:p>
      <w:r>
        <w:rPr>
          <w:b/>
        </w:rPr>
        <w:t>E. 4</w:t>
      </w:r>
    </w:p>
    <w:p>
      <w:r>
        <w:t>Les conditions d’octroi d’une autorisation de travail sont régies par les dispositions de la loi fédérale sur les étrangers du 16 décembre 2005 (LEtr - RS 142.20) et de ses ordonnances d’application, ainsi que par les directives établies par le SEM, conformément à l'art. 89 de l’ordonnance relative à l’admission, au séjour et à l’exercice d’une activité lucrative du 24 octobre 2007 (OASA - RS 142.201).</w:t>
      </w:r>
    </w:p>
    <w:p>
      <w:r>
        <w:rPr>
          <w:b/>
        </w:rPr>
        <w:t>E. 5</w:t>
      </w:r>
    </w:p>
    <w:p>
      <w:r>
        <w:t>a. Le séjour en Suisse en vue d’y exercer une activité lucrative est soumis à autorisation (art. 11 renvoyant aux art. 18 ss LEtr). Cette dernière doit être requise auprès du canton de prise d’emploi (art. 11 al. 1 LEtr). Les titulaires d'une autorisation de courte durée ou d'un permis de séjour ont le droit d'exercer une activité lucrative indépendante (art. 38 al. 1 à 3 LEtr). Constitue une activité indépendante toute activité au sens de l’art. 2 al. 1 OASA, notamment toute activité exercée par une personne dans le cadre de sa propre organisation, librement choisie, dans un but lucratif, soumise à ses propres instructions matérielles et à ses propres risques et périls.</w:t>
      </w:r>
    </w:p>
    <w:p>
      <w:r>
        <w:t>b. La jurisprudence a retenu qu'une personne, seule et unique associée d'une société à responsabilité limitée exerce une activité lucrative indépendante (ATAF du 9 mai 2011 C-7286/2008).</w:t>
      </w:r>
    </w:p>
    <w:p>
      <w:r>
        <w:t>En l'espèce, la demande d'autorisation de séjour pour travailleur indépendant du 16 juillet 2015 visait à obtenir une autorisation d’exercer une activité lucrative indépendante au sens des dispositions précitées, le recourant exposant vouloir exercer une fonction dirigeante au sein de sa propre entreprise, soit D______, société dans laquelle il était administrateur unique avec signature individuelle. La société D______ ayant été déclarée en faillite le 9 juin 2016, elle n’a depuis lors plus d’activité et le recourant ne peut plus y travailler. Par conséquent sa requête n’a plus d’objet et son recours n’a plus d’intérêt pratique et actuel sous cet angle. Sur ce point, le recours est donc irrecevable.</w:t>
      </w:r>
    </w:p>
    <w:p>
      <w:r>
        <w:t>Dans sa requête et dans ses recours subséquents, le recourant a fait valoir ses nouvelles activités au sein de E______. Celles-ci étant limitées à des activités</w:t>
      </w:r>
    </w:p>
    <w:p>
      <w:r>
        <w:t>- 8/10 - A/3267/2015 d’administration au sein d’une société créée avant qu’il n’en devienne organe, c’est à juste titre que l’OCIRT et le TAPI n’ont pas examiné la situation de l’intéressé sous l’angle de l’art. 2 al. 1 OASA en rapport avec les activités que l’intéressé peut mener avec cette société.</w:t>
      </w:r>
    </w:p>
    <w:p>
      <w:r>
        <w:rPr>
          <w:b/>
        </w:rPr>
        <w:t>E. 6</w:t>
      </w:r>
    </w:p>
    <w:p>
      <w:r>
        <w:t>Au vu de ce qui précède, le recours sera rejeté, dans la mesure de sa recevabilité.</w:t>
      </w:r>
    </w:p>
    <w:p>
      <w:r>
        <w:rPr>
          <w:b/>
        </w:rPr>
        <w:t>E. 7</w:t>
      </w:r>
    </w:p>
    <w:p>
      <w:r>
        <w:t>Dès lors que par cet arrêt il est statué sur le fond du litige, la demande liée à la restitution de l'effet suspensif sera déclarée sans objet.</w:t>
      </w:r>
    </w:p>
    <w:p>
      <w:r>
        <w:rPr>
          <w:b/>
        </w:rPr>
        <w:t>E. 8</w:t>
      </w:r>
    </w:p>
    <w:p>
      <w:r>
        <w:t>Un émolument de CHF 400.- sera mis à la charge du recourant qui succombe (art. 87 al. 1 LPA), et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