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ATA/858/2012 vom 21. Dezember 2012</w:t>
      </w:r>
    </w:p>
    <w:p>
      <w:r>
        <w:t>GE Cour de justice, 2012-12-21, FR</w:t>
      </w:r>
    </w:p>
    <w:p>
      <w:r>
        <w:rPr>
          <w:b/>
        </w:rPr>
        <w:t xml:space="preserve">Quelle: </w:t>
      </w:r>
      <w:r>
        <w:t>https://mcp.opencaselaw.ch/entscheid/ge_gerichte_ATA_858_2012</w:t>
      </w:r>
    </w:p>
    <w:p>
      <w:r>
        <w:t>FR: GE_GERICHTE ATA/858/2012 du 21 décembre 2012</w:t>
      </w:r>
    </w:p>
    <w:p>
      <w:r>
        <w:t>IT: GE_GERICHTE ATA/858/2012 del 21 dicembre 2012</w:t>
      </w:r>
    </w:p>
    <w:p>
      <w:pPr>
        <w:pStyle w:val="Heading2"/>
      </w:pPr>
      <w:r>
        <w:t>Erwägungen</w:t>
      </w:r>
    </w:p>
    <w:p>
      <w:r>
        <w:rPr>
          <w:b/>
        </w:rPr>
        <w:t>E. 1</w:t>
      </w:r>
    </w:p>
    <w:p>
      <w:r>
        <w:t>Interjeté en temps utile devant la juridiction compétente, le recours est recevable prima facie (art. 132 de la loi sur l'organisation judiciaire du 26 septembre 2010 - LOJ - E 2 05 ; art. 62 al. l let. b de la loi sur la procédure administrative du 12 septembre 1985 - LPA - E 5 10).</w:t>
      </w:r>
    </w:p>
    <w:p>
      <w:r>
        <w:rPr>
          <w:b/>
        </w:rPr>
        <w:t>E. 2</w:t>
      </w:r>
    </w:p>
    <w:p>
      <w:r>
        <w:t>Les TPG, établissement de droit public genevois, sont dotés de la personnalité juridique et autonomes, dans les limites fixées par la LTPG (art. 2 al. l LTPG). Ils sont placés sous la surveillance du Conseil d'Etat et de l'autorité fédérale compétente (art. 2 al. 3 LTPG). Ils sont régis par un conseil d'administration et un conseil de direction (art. 8 LTPG).</w:t>
      </w:r>
    </w:p>
    <w:p>
      <w:r>
        <w:rPr>
          <w:b/>
        </w:rPr>
        <w:t>E. 3</w:t>
      </w:r>
    </w:p>
    <w:p>
      <w:r>
        <w:t>La novelle précitée, entrée en vigueur le 8 décembre 2012, a modifié la composition dudit conseil d'administration.</w:t>
      </w:r>
    </w:p>
    <w:p>
      <w:r>
        <w:t>L'art. 9 al. 1 LTPG, intitulé « composition et mode de nomination », prévoyait que :</w:t>
      </w:r>
    </w:p>
    <w:p>
      <w:r>
        <w:t>« L'administration des TPG est confiée à un conseil d'administration formé de : a) 1 membre de chaque parti représenté au Grand Conseil, désigné par ce dernier ; b) 6 membres, dont au moins un conseiller d'Etat, désignés par le Conseil d'Etat ;</w:t>
      </w:r>
    </w:p>
    <w:p>
      <w:r>
        <w:t>- 5/8 - A/3801/2012 c) 1 membre, choisi en son sein, par le conseil administratif de la Ville de Genève ; d) 1 membre, choisi en son sein, par l'Association des communes genevoises ; e) 1 membre pour la région frontalière française, nommé par le Conseil d'Etat ; f) 3 membres faisant partie du personnel des TPG, dont : 1° 1 agent gradé ou appartenant à l'administration, élu au bulletin secret, à la majorité simple, par les agents gradés et le personnel de l'administration ; 2° 2 agents non gradés, élus au bulletin secret par le personnel non gradé, selon le système proportionnel appliqué à l'élection du Conseil national, à l'exception de la disposition concernant le cumul ».</w:t>
      </w:r>
    </w:p>
    <w:p>
      <w:r>
        <w:t>L'art. 9 al. l n'a été modifié que dans ses let. b, c et d, qui ont dorénavant la teneur suivante : « b) 6 membres désignés par le Conseil d’Etat ; c) 1 membre désigné par le conseil administratif de la Ville de Genève ; d) 1 membre désigné par l’Association des communes genevoises ».</w:t>
      </w:r>
    </w:p>
    <w:p>
      <w:r>
        <w:t>Ces modifications sont entrées en vigueur immédiatement, soit le 8 décembre 2012, aucune disposition transitoire n'ayant été prévue.</w:t>
      </w:r>
    </w:p>
    <w:p>
      <w:r>
        <w:rPr>
          <w:b/>
        </w:rPr>
        <w:t>E. 4</w:t>
      </w:r>
    </w:p>
    <w:p>
      <w:r>
        <w:t>En sa qualité de maire et de conseiller administratif de la Ville de Genève, M. Pagani est membre d'un exécutif communal. Il n'a jamais allégué qu'il aurait été désigné pour siéger au conseil d'administration des TPG par l'Association des communes genevoises, seule exception prévue par l'art. 11 al. 3, renvoyant à l'art. 9 al. l let. d LTPG. Prima facie, il réunit donc en sa personne les conditions de l'incompatibilité proscrite depuis le 8 décembre 2012 par l'art. 11 al. 3 LTPG, ce qu'a constaté le Conseil d’Etat dans son arrêté du 12 décembre 2012, la situation qui prévalait lors du prononcé de l'ACE du 26 septembre 2012 s'étant modifiée vu la novelle.</w:t>
      </w:r>
    </w:p>
    <w:p>
      <w:r>
        <w:t>La cause ne soulève ainsi aucune question relative à l'application de la loi dans le temps.</w:t>
      </w:r>
    </w:p>
    <w:p>
      <w:r>
        <w:rPr>
          <w:b/>
        </w:rPr>
        <w:t>E. 5</w:t>
      </w:r>
    </w:p>
    <w:p>
      <w:r>
        <w:t>Elle n'a pas davantage trait à la nomination d'une personne qui aurait été élue en qualité de membre dudit conseil d'administration, ainsi qu'en a jugé récemment, sur effet suspensif, la présidente de la chambre de céans s'agissant de la composition du conseil d'administration des Services industriels de Genève (ci-après : SIG) (ATA/708/2012 du 17 octobre 2012).</w:t>
      </w:r>
    </w:p>
    <w:p>
      <w:r>
        <w:t>- 6/8 - A/3801/2012</w:t>
      </w:r>
    </w:p>
    <w:p>
      <w:r>
        <w:t>Le Conseil d’Etat ne pouvant que ratifier un choix qui est dévolu en l'espèce et de par la loi au conseil administratif, sous réserve du pouvoir de révocation que lui confère l'art. 16 LTPG, il se devait de constater que l'un des membres du conseil d'administration des TPG, qu'il avait nommé, ne remplissait plus les conditions légales lui permettant de continuer à siéger au sein de cet organe. Cette cause-ci diffère ainsi de celles relatives à la révocation par le Conseil d’Etat d'un membre du conseil d'administration des SIG et au remplacement de celui-là (ATA/20/2010 du 19 janvier 2010, confirmé par Arrêt du Tribunal fédéral 8C_87/2011 du 3 mai 2011 ; ATA/839/2010 du 30 novembre 2010).</w:t>
      </w:r>
    </w:p>
    <w:p>
      <w:r>
        <w:rPr>
          <w:b/>
        </w:rPr>
        <w:t>E. 6</w:t>
      </w:r>
    </w:p>
    <w:p>
      <w:r>
        <w:t>Au même titre qu'une autorisation devient caduque de par la loi lorsque les conditions de son octroi ne sont plus satisfaites (l'avocat qui ne remplit plus l'une des conditions d'inscription au registre des avocats est radié de celui-ci, selon les art. 8 et</w:t>
      </w:r>
    </w:p>
    <w:p>
      <w:r>
        <w:rPr>
          <w:b/>
        </w:rPr>
        <w:t>E. 9</w:t>
      </w:r>
    </w:p>
    <w:p>
      <w:r>
        <w:t>Le sort des frais de la procédure sera réservé jusqu'à droit jugé au fond.</w:t>
      </w:r>
    </w:p>
    <w:p>
      <w:r>
        <w:rPr>
          <w:b/>
        </w:rPr>
        <w:t>E. 10</w:t>
      </w:r>
    </w:p>
    <w:p>
      <w:r>
        <w:t>La présente décision est rendue par la présidente de la chambre administrative, en application de l’art. 7 al. 1 du règlement de cette dernière du 21 décembre 2010.</w:t>
      </w:r>
    </w:p>
    <w:p>
      <w:r>
        <w:t>- 8/8 - A/3801/2012 LA CHAMBRE ADMINISTRATIVE rejette la demande d’octroi d’effet suspensif et de mesures provisionnelles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Ville de Genève, à Monsieur Rémy Pagani, Maire, ainsi qu'au Conseil d'Etat.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