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ATA/857/2019 vom 30. April 2019</w:t>
      </w:r>
    </w:p>
    <w:p>
      <w:r>
        <w:t>GE Cour de justice, 2019-04-30, FR</w:t>
      </w:r>
    </w:p>
    <w:p>
      <w:r>
        <w:rPr>
          <w:b/>
        </w:rPr>
        <w:t xml:space="preserve">Quelle: </w:t>
      </w:r>
      <w:r>
        <w:t>https://mcp.opencaselaw.ch/entscheid/ge_gerichte_ATA_857_2019</w:t>
      </w:r>
    </w:p>
    <w:p>
      <w:r>
        <w:t>FR: GE_GERICHTE ATA/857/2019 du 30 avril 2019</w:t>
      </w:r>
    </w:p>
    <w:p>
      <w:r>
        <w:t>IT: GE_GERICHTE ATA/857/2019 del 30 aprile 2019</w:t>
      </w:r>
    </w:p>
    <w:p>
      <w:pPr>
        <w:pStyle w:val="Heading2"/>
      </w:pPr>
      <w:r>
        <w:t>Regeste</w:t>
      </w:r>
    </w:p>
    <w:p>
      <w:r>
        <w:t>Résumé: Rejet du recours d'une héritière instituée recourant contre le bordereau de succession. Dans la taxation, I'AFC-GE avait à bon droit rétabli la réserve du fils de la défunte. L'arrangement auquel les héritiers étaient arrivés pour partager la succession était un pur accord privé n'ayant pas de conséquences fiscales. Le fisc n'était pas lié par une clé de répartition différente de celle découlant de la loi. L'AFC-GE a correctement calculé les droits de succession de la recourante. Le recours est rejeté.</w:t>
      </w:r>
    </w:p>
    <w:p>
      <w:pPr>
        <w:pStyle w:val="Heading2"/>
      </w:pPr>
      <w:r>
        <w:t>Erwägungen</w:t>
      </w:r>
    </w:p>
    <w:p>
      <w:r>
        <w:rPr>
          <w:b/>
        </w:rPr>
        <w:t>E. 12</w:t>
      </w:r>
    </w:p>
    <w:p>
      <w:r>
        <w:t>septembre 1985 - LPA - E 5 10 ; art. 68 al. 1 de la loi sur les droits de succession du 26 novembre 1960 - LDS - D 3 25).</w:t>
      </w:r>
    </w:p>
    <w:p>
      <w:r>
        <w:t>b. La procédure de réclamation auprès de l'AFC-GE et le recours au TAPI ont tous deux été diligentés par l'exécuteur testamentaire.</w:t>
      </w:r>
    </w:p>
    <w:p>
      <w:r>
        <w:t>- 8/13 - A/883/2018</w:t>
      </w:r>
    </w:p>
    <w:p>
      <w:r>
        <w:t>Selon l'art. 53 al. 1 LDS, les héritiers légaux et institués, les usufruitiers, les légataires, les bénéficiaires et attributaires d'assurances, de rentes et de libéralités sont tenus d'acquitter les droits de succession, intérêts, amendes, frais et émoluments. Ainsi, même si l'exécuteur testamentaire peut en être le destinataire, les héritiers ont le droit de contester la décision de taxation (arrêt du Tribunal fédéral 2C_629/2008 du 30 mars 2009 consid. 1.3 ; Grégoire PILLER in Pascal PICHONNAZ/Bénédict FOEX/Denis PIOTET, Commentaire romand – Code civil II, 2016, p. 484 n.56 ad art. 518 CC).</w:t>
      </w:r>
    </w:p>
    <w:p>
      <w:r>
        <w:t>c. En l'espèce, la recourante a été instituée comme héritière par la défunte, à parts égales avec la fille de cette dernière. En sa qualité d'héritière instituée, la recourante est la seule à être une héritière de la 5ème catégorie et les droits dus sur sa part de la succession ont été calculés selon un barème correspondant. Le jugement litigieux portant sur la quotité de sa part successorale et, par conséquent, sur le montant des droits dus sur la succession, la recourante est une débitrice des droits sur la succession selon l'art. 53 al. 1 LDS. Elle a ainsi la qualité pour contester le jugement du TAPI. Pour le surplus, l'exécuteur testamentaire a soutenu les conclusions prises par la recourante.</w:t>
      </w:r>
    </w:p>
    <w:p>
      <w:r>
        <w:t>Partant, son recours sera déclaré recevable. 2)</w:t>
      </w:r>
    </w:p>
    <w:p>
      <w:r>
        <w:t>Est litigieuse la question de savoir sur quelle quote-part de succession doivent être calculés les droits de succession de la recourante.</w:t>
      </w:r>
    </w:p>
    <w:p>
      <w:r>
        <w:t>a. L'impôt sur les successions frappe notamment toute transmission de biens résultant d'un décès ou d'une déclaration d'absence, à quelque titre que cette transmission ait lieu (art. 1 al. 2 let. a LDS). Les droits de succession sont dus par ceux qui, à la suite d'un décès ou d'une déclaration d'absence, acquièrent des biens ou en son bénéficiaires (art. 2 al. 1 LDS). Il est distrait de toute succession ouverte dans le canton de Genève les dettes non prescrites dont elle est grevée (art. 14 al. 1 LDS). Il s'agit de dettes de la personne décédée, existant avant sa mort et que reprennent les héritiers. Selon l'art. 16 let. a LDS, les droits de succession sont calculés sur les parts héréditaires nettes.</w:t>
      </w:r>
    </w:p>
    <w:p>
      <w:r>
        <w:t>b. Au sens de l'art. 54 LDS, les héritiers légaux et institués sont tenus dans tous les cas, solidairement et sur tous leurs biens, au paiement des droits, intérêts, frais et émoluments dus sur les parts héréditaires, legs, rentes et autres libéralités (al. 1). Les héritiers, usufruitiers, légataires, bénéficiaires et attributaires d'assurances, de rentes et de libéralités, les tuteurs et curateurs, administrateurs d'office et liquidateurs officiels, par le fait desquels des contraventions ont eu lieu, en son personnellement responsables (al. 2).</w:t>
      </w:r>
    </w:p>
    <w:p>
      <w:r>
        <w:t>Ainsi, les droits de succession sont dus par les héritiers sur leurs parts respectives (art. 2 LDS et 53 al. 1 LDS). En outre, le calcul de ces droits doit se</w:t>
      </w:r>
    </w:p>
    <w:p>
      <w:r>
        <w:t>- 9/13 - A/883/2018 faire sur les parts héréditaires nettes, soit celles obtenues après déduction du passif de la succession.</w:t>
      </w:r>
    </w:p>
    <w:p>
      <w:r>
        <w:t>c. La loi fiscale lie en principe l'imposition des successions et donations aux transferts et institutions du droit civil ; elle peut s'écarter du droit civil pour donner une définition propre des cas d'imposition, mais, en vertu du principe de la légalité de l'impôt, elle doit le dire expressément. Lorsque la norme opère clairement son rattachement au droit civil, elle droit être appréciée dans le contexte du droit civil et les concepts du droit civil être pris dans leurs acception civile (ATA/682/2012 du 9 octobre 2012 consid. 3a ; ATA/414/2008 du 26 août 2008 consid. 6a).</w:t>
      </w:r>
    </w:p>
    <w:p>
      <w:r>
        <w:t>d. L'art. 560 al. 1 du Code civil suisse du 10 décembre 1907 (CC - RS 210) prévoit que les héritiers acquièrent de plein droit l'universalité de la succession à l'ouverture de celle-ci. Selon l'art. 471 ch. 1 CC, pour un descendant, la réserve est de trois quarts de son droit de succession. La quotité disponible se calcule suivant l'état de la succession au jour du décès (art. 474 al. 1 CC).</w:t>
      </w:r>
    </w:p>
    <w:p>
      <w:r>
        <w:t>L'art. 477 CC prévoit deux cas de figure où un héritier réservataire peut être exhérédé : lorsque l'héritier a commis une infraction pénale grave contre le défunt ou l'un de ses proches (ch. 1) ou lorsqu'il a gravement failli aux devoirs que la loi lui impose envers le défunt ou sa famille (ch. 2).</w:t>
      </w:r>
    </w:p>
    <w:p>
      <w:r>
        <w:t>L'art. 479 CC précise que l'exhérédation n'est valable que si le défunt en a indiqué la cause dans l'acte qui l'ordonne (al. 1). La preuve de l'exactitude de cette indication sera faite, en cas de contestation de la part de l'exhérédé, par l'héritier ou le légataire qui profite de l'exhérédation (al. 2). Si cette preuve n'est pas faite ou si la cause de l'exhérédation n'est pas indiquée, les volontés du défunt seront exécutées dans la mesure du disponible, à moins qu'elles ne soient la conséquence d'une erreur manifeste sur la cause même de l'exhérédation (al. 3).</w:t>
      </w:r>
    </w:p>
    <w:p>
      <w:r>
        <w:t>En cas d'action en réduction (art. 522 CC), la réduction s'opère au marc le franc contre tous les héritiers institués et les autres personnes gratifiées, si la disposition ne révèle pas une intention contraire à son auteur (art. 525 al. 1 CC).</w:t>
      </w:r>
    </w:p>
    <w:p>
      <w:r>
        <w:t>La violation des devoirs de famille, au sens de l'art. 477 ch. 2 CC, peut résulter non seulement d'une omission, mais également d'un acte positif comme des voies de fait ou des atteintes à l'honneur. Elle peut être commise intentionnellement ou par négligence, mais doit être illicite. L'art. 477 ch. 2 CC suppose en effet une violation des devoirs imposés par la loi et issus du droit de la filiation (art. 277 ss CC), de la famille (art. 328 ss CC) ou du mariage (art. 159 ss CC). Il peut notamment s'agir du devoir d'aide, d'égards et de respects mutuels que parents et enfants se doivent (art. 272 CC), de l'obligation d'entretien due par les père et mère (art. 276 ss CC), du devoir de fournir des aliments à des parents en ligne directe dans le besoin (art. 328 CC) et du devoir de fidélité, d'assistance et d'entretien réciproque entre époux (art. 159 et 163 CC). La</w:t>
      </w:r>
    </w:p>
    <w:p>
      <w:r>
        <w:t>- 10/13 - A/883/2018 violation d'un devoir moral ou d'une obligation contractuelle, de même qu'un comportement contraire à la volonté du de cujus, ne sont pas des motifs pouvant justifier une exhérédation. La violation des devoirs de famille doit être objectivement et subjectivement grave. Elle doit être propre à justifier une privation du droit à la réserve. Il faut pour cela que l'acte incriminé soit de nature à miner la communauté familiale et qu'il ait effectivement eu un tel résultat (Paul- Henri STEINAUER in Pascal PICHONNAZ/Bénédict FOEX/Denis PIOTET, op. cit., p. 112 n.11 ad art. 477 CC).</w:t>
      </w:r>
    </w:p>
    <w:p>
      <w:r>
        <w:t>Selon la jurisprudence, ne peuvent pas être exhérédés, faute de cause suffisante, le fils qui a eu envers son père une conduite irrévérencieuse et déloyale dans des relations d'affaires avec lui, l'enfant qui témoigne en justice de manière conforme à la vérité contre un de ses parents alors qu'il n'y était pas obligé, l'époux qui par des placements spéculatifs a conduit son conjoint à perdre des sommes importantes, l'héritier qui dans un excès de colère démolit un mur de jardin fraîchement construit par le de cujus, l'enfant qui, au décès de son père, envoie un faire-part différent de celui envoyé par sa mère et dur envers celle-ci, ou encore l'enfant adoptif qui ne se soucie pas de l'un de ses parents souffrant d'une grave maladie (Paul-Henri STEINAUER in Pascal PICHONNAZ/Bénédict FOEX/Denis PIOTET, op. cit., p. 112 - 113 n.14 ad art. 477 CC et jurisprudence citée).</w:t>
      </w:r>
    </w:p>
    <w:p>
      <w:r>
        <w:t>Dans l'examen des motifs d'exhérédation visés à l'art. 477 CC, le juge bénéficie d'un large pouvoir d'interprétation ; il doit notamment prendre en compte divers éléments, comme les habitudes et les conceptions du cercle des personnes concernées, le degré de parenté, la faute de l'héritier, l'éventuelle faute concomitante du de cujus et le conflit avec d'autres devoirs légaux ou moraux (Paul-Henri STEINAUER in Pascal PICHONNAZ/Bénédict FOEX/Denis PIOTET, op. cit., p. 112 n.11 ad art. 477 CC).</w:t>
      </w:r>
    </w:p>
    <w:p>
      <w:r>
        <w:t>e. La décision des héritiers ou légataires de répartir leurs parts respectives d'une manière différente de celle découlant des dispositions légales ou testamentaires ne peut pas priver l'État des droits qui lui sont dus en vertu de ces dernières. Cela découle de la coexistence de dispositions de droit civil et de droit fiscal qui ne poursuivent pas les mêmes finalités. Les premières accordent à chaque personne physique la liberté d'organiser ce qu'il advient de ses biens après son décès, tandis que les deuxièmes concernent le traitement fiscal en faveur de l'État des valeurs revenant aux bénéficiaires, selon des règles qui s'imposent à ces derniers et qui ne prennent plus en considération la volonté du de cujus (ATA/1310 du 8 décembre 2015 consid. 6).</w:t>
      </w:r>
    </w:p>
    <w:p>
      <w:r>
        <w:t>Les actes juridiques postérieurs à la naissance de la dette d'impôt n'entrent pas en considération pour le calcul de l'impôt. Cela est conforme au but de la loi qui est de frapper l'augmentation de la capacité contributive de l'acquéreur de biens transférés pour cause de mort dans son patrimoine. Sauf exception prévue</w:t>
      </w:r>
    </w:p>
    <w:p>
      <w:r>
        <w:t>- 11/13 - A/883/2018 par la loi, toute attribution dont la cause n'est pas la mort échappe à l'impôt successoral. Par conséquent, le fisc n'est pas lié par les contrats passés entre les héritiers concernant le partage de la succession et le contribuable ne doit pas avoir la possibilité de modifier à son gré l'assiette de l'impôt en se livrant à des combinaisons dont le fisc pourrait pâtir. L'imposition doit se faire suivant la quote-part successorale de chaque héritier et non suivant la part qui lui est effectivement attribuée par la convention de partage (ATA/131/1999 du 2 mars 1999 consid. 3c et les références citées).</w:t>
      </w:r>
    </w:p>
    <w:p>
      <w:r>
        <w:t>f. Le principe de la légalité gouverne l'ensemble de l'activité de l'État (art. 5 al. 1 et 36 al. 1 de la Constitution fédérale de la Confédération suisse du 18 avril 1999 (Cst. - RS 101)).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 consid. 7.2 ; arrêts du Tribunal fédéral 2C_858/2014 du 17 février 2015 consid. 2.1 ; 2C_160/2014 du 7 octobre 2014 consid. 5.2). Il exige non seulement que le cercle des contribuables mais également que les exceptions à l'assujettissement soient définies dans une loi au sens formel (ATF 122 I 305 consid. 6b/dd ; 103 Ia 505 consid. 3a).</w:t>
      </w:r>
    </w:p>
    <w:p>
      <w:r>
        <w:t>Les contribuables qui sont dans la même situation économique doivent supporter une charge fiscale semblable ; lorsqu'ils sont dans des situations différentes qui ont des effets sur leur capacité économique, leur charge fiscale doit en tenir compte et y être adaptée. Ainsi, d'après le principe de la proportionnalité de la charge fiscale à la capacité contributive (ATA/459/2018 du 8 mai 2018 consid. 3 ; ATA/126/2018 du 6 février 2018), chaque citoyen doit contribuer à la couverture des dépenses publiques compte tenu de sa situation personnelle et en proportion de ses moyens (ATF 140 II 157 consid. 7.1.). 3)</w:t>
      </w:r>
    </w:p>
    <w:p>
      <w:r>
        <w:t>En l'espèce, à l’évidence aucun des motifs d'une exhérédation visés à l'art. 477 CC n'est réalisé. En ne prenant pas de ses nouvelles, alors qu'elle était malade, M. D______ n'a pas, au sens de l’art. 477 CC, gravement violé les devoirs familiaux qu'il avait envers sa défunte mère. La clause d'exhérédation n'était, compte tenu de sa teneur même, manifestement pas valable. Ainsi, c'est à bon droit que l'AFC-GE a procédé à la taxation de la succession en rétablissant la réserve de M. D______. Elle était fondée à admettre la réserve héréditaire à concurrence de 3/8ème de la succession correspondant à ladite réserve.</w:t>
      </w:r>
    </w:p>
    <w:p>
      <w:r>
        <w:t>Le testament de la défunte prévoyait expressément que son héritage devait être partagé par parts égales entre sa fille et la recourante. C'est donc à juste de titre que le TAPI a retenu que la quotité disponible de CHF 458'756.20 (CHF 734'010.- moins la réserve de M. D______ de CHF 275'253.80) devait être partagée entre Mme E______ et la recourante. L'arrangement auquel les héritiers ont procédé relève du pur accord privé et n'a que des conséquences civiles et non</w:t>
      </w:r>
    </w:p>
    <w:p>
      <w:r>
        <w:t>- 12/13 - A/883/2018 fiscales. De par le fait que la naissance de la dette d'impôt a lieu au moment de l'ouverture de la succession, ni l'accord entre les héritiers du 1er mars 2018, ni la transaction judiciaire du 10 juillet 2018 n'ont d'effets sur l'établissement des droits dus par chaque héritier de la succession. En effet, le fisc n'est pas lié par une clé de répartition différente de celle découlant de la loi et des dispositions testamentaires. Partant, l'AFC-GE a correctement calculé les droits de succession sur un montant de CHF 229'378.10, de sorte que la recourante ne peut pas se prévaloir du principe de la capacité contributive car elle aurait, de par la loi, en réalité bénéficié d'une part lui permettant de s'acquitter des droits dus.</w:t>
      </w:r>
    </w:p>
    <w:p>
      <w:r>
        <w:t>Au vu de ce qui précède, les droits de succession ont été calculés de manière conforme au droit et le jugement du TAPI doit être confirmé.</w:t>
      </w:r>
    </w:p>
    <w:p>
      <w:r>
        <w:t>Mal fondé, le recours sera, donc, rejeté. 4)</w:t>
      </w:r>
    </w:p>
    <w:p>
      <w:r>
        <w:t>Au vu de l'issue du litige, un émolument de CHF 700.- sera mis à la charge solidaire de la recourante et de l'exécuteur testamentaire (art. 87 al. 1 LPA), ce dernier ayant appuyé les conclusions de celle-ci. La recourante succombant, il n’y a pas lieu de lui allouer 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