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ATA/857/2014 vom 4. November 2014</w:t>
      </w:r>
    </w:p>
    <w:p>
      <w:r>
        <w:t>GE Cour de justice, 2014-11-04, FR</w:t>
      </w:r>
    </w:p>
    <w:p>
      <w:r>
        <w:rPr>
          <w:b/>
        </w:rPr>
        <w:t xml:space="preserve">Quelle: </w:t>
      </w:r>
      <w:r>
        <w:t>https://mcp.opencaselaw.ch/entscheid/ge_gerichte_ATA_857_2014</w:t>
      </w:r>
    </w:p>
    <w:p>
      <w:r>
        <w:t>FR: GE_GERICHTE ATA/857/2014 du 4 novembre 2014</w:t>
      </w:r>
    </w:p>
    <w:p>
      <w:r>
        <w:t>IT: GE_GERICHTE ATA/857/2014 del 4 novembre 2014</w:t>
      </w:r>
    </w:p>
    <w:p>
      <w:pPr>
        <w:pStyle w:val="Heading2"/>
      </w:pPr>
      <w:r>
        <w:t>Regeste</w:t>
      </w:r>
    </w:p>
    <w:p>
      <w:r>
        <w:t>Résumé: Question de l'assujettissement à la LDFR d'un immeuble sis en zone de développement à construire avec zone primaire agricole. L'ancienne pratique de l'autorité intimée, exigeant que la parcelle soit au bénéfice d'un arrêté d'application des normes de la zone de développement pour la constatation de son non-assujettissement à la LDFR, était conforme au droit, contrairement à la nouvelle pratique. Le changement de pratique, consistant à considérer comme suffisant un plan modifiant les limites de zone et instituant une zone de développement, motivé de manière peu convaincante, n'est pas justifié par un changement de droit ou de circonstances, ni motivé par un intérêt public. Recours admis.</w:t>
      </w:r>
    </w:p>
    <w:p>
      <w:pPr>
        <w:pStyle w:val="Heading2"/>
      </w:pPr>
      <w:r>
        <w:t>Erwägungen</w:t>
      </w:r>
    </w:p>
    <w:p>
      <w:r>
        <w:rPr>
          <w:b/>
        </w:rPr>
        <w:t>E. 12</w:t>
      </w:r>
    </w:p>
    <w:p>
      <w:r>
        <w:t>septembre 1985 - LPA - E 5 10). 2)</w:t>
      </w:r>
    </w:p>
    <w:p>
      <w:r>
        <w:t>L’État de Genève contestant l’existence d’un intérêt digne de protection et seuls trois des quatre propriétaires en main commune de la parcelle en cause ayant interjeté recours, il convient d’examiner la qualité pour recourir des recourants.</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b. Les let. a et b de cette disposition doivent se lire en parallèle. Ainsi, le particulier qui ne peut faire valoir un intérêt digne de protection ne saurait être admis comme partie recourante, même s’il était partie à la procédure de première instance (ATA/486/2014 du 24 juin 2014 consid. 2b ; ATA/193/2013 du 26 mars 2013 consid. 2b ; ATA/281/2012 du 8 mai 2012 consid. 8 et les références citées).</w:t>
      </w:r>
    </w:p>
    <w:p>
      <w:r>
        <w:t>c.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précité consid. 2.1 ; 8C_696/2011 du 2 mai 2012 consid. 5.1 ;</w:t>
      </w:r>
    </w:p>
    <w:p>
      <w:r>
        <w:t>- 10/17 - A/1814/2013 ATA/365/2009 du 28 juillet 2009 consid. 3b ; ATA/207/2009 du 28 avril 2009 consid. 3b). Un intérêt seulement indirect à l’annulation ou à la modification de la décision attaquée n’est pas suffisant (ATF 138 V 292 consid. 4 p. 296 ; arrêt du Tribunal fédéral 1C_665/2013 du 24 mars 2014 consid. 3.1).</w:t>
      </w:r>
    </w:p>
    <w:p>
      <w:r>
        <w:t>d. Selon la jurisprudence, l'art. 84 LDFR permet au propriétaire de faire constater, par l'autorité compétente, que l'immeuble considéré n'est pas soumis au champ d'application de la LDFR (ATF 139 III 327 consid. 2 p. 329 ; 132 III 515 consid. 3.3.2 p. 519 ; 129 III 186 consid. 2 p. 189).</w:t>
      </w:r>
    </w:p>
    <w:p>
      <w:r>
        <w:t>e. D'après la jurisprudence fédérale, si la notion de consorité nécessaire n'existe pas, à proprement parler, en procédure administrative, les principes qui la fondent jouent également, dans une certaine mesure, un rôle dans cette matière, notamment sous l'angle de la qualité pour recourir (ATF 131 I 153 consid. 5.4 p. 160 ; ATA/394/2013 du 25 juin 2013 consid. 8).</w:t>
      </w:r>
    </w:p>
    <w:p>
      <w:r>
        <w:t>La qualité pour recourir se détermine néanmoins au premier chef sur l'existence d'un intérêt digne de protection, de sorte qu’il est possible que des consorts nécessaires au sens du droit civil possèdent individuellement la qualité pour recourir en procédure administrative (ATA/394/2013 précité consid. 8 ; Clémence GRISEL RAPIN, L'obligation de collaborer des parties en procédure administrative, 2008, p. 141 ; François BELLANGER, La qualité de partie à la procédure administrative in Thierry TANQUEREL/François BELLANGER, Les tiers dans la procédure administrative, 2004, p. 33-56, p. 52 ; Benoît BOVAY, Procédure administrative, 2000, p. 141). C'est ainsi que même des hoirs ou des propriétaires en main commune peuvent recourir à titre individuel contre une décision qui crée des droits ou des obligations, n'étant obligés d'agir tous ensemble que lorsque le recours est susceptible de léser ou de mettre en péril les intérêts d'autres membres de la communauté (ATF 119 Ib 56 consid. 1 p. 58 ; 116 Ib 447 consid. 2b p. 450 ; arrêt du Tribunal fédéral 1C_278/2001 du 17 avril 2012 consid. 1.2 ; ATA/394/2013 précité consid. 8 ; Alfred KÖLZ/Isabelle HÄNER/Martin BERTSCHI, Verwaltungsverfahren und Verwaltungsrechtspflege des Bundes, 3ème éd., 2013, n. 935).</w:t>
      </w:r>
    </w:p>
    <w:p>
      <w:r>
        <w:t>f. En l’espèce, selon l’État de Genève, le désassujettissement de la parcelle ayant pour effet de confirmer la valeur élevée de la parcelle en cause et les recourants n’étant pas exploitants agricoles, ces derniers auraient pour seul intérêt à recourir le fait de retarder la réalisation forcée et de dévaloriser le gage, de sorte qu’ils n’auraient pas d’intérêt digne de protection.</w:t>
      </w:r>
    </w:p>
    <w:p>
      <w:r>
        <w:t>L’on ne peut toutefois suivre ce raisonnement. Tout comme le propriétaire d’une parcelle a la qualité pour demander à la CFA de rendre une décision en constatation du non-assujettissement de son terrain, il a la qualité pour s’opposer à une telle décision, qui affecte le régime juridique applicable à son immeuble et le touche ainsi plus que quiconque, dans ses prérogatives de propriétaire. En</w:t>
      </w:r>
    </w:p>
    <w:p>
      <w:r>
        <w:t>- 11/17 - A/1814/2013 particulier, du fait d’une éventuelle influence sur la valeur de la parcelle, une telle décision est notamment susceptible d’avoir des incidences en matière fiscale ou successorale. Dans ces circonstances, les recourants ont un intérêt digne de protection à recourir et la question de leur bonne foi, ayant demandé le désassujettissement en 2007 pour ensuite s’y opposer en 2013, ne se pose plus.</w:t>
      </w:r>
    </w:p>
    <w:p>
      <w:r>
        <w:t>Par ailleurs, dans le cas d’espèce, seuls trois des quatre propriétaires en main commune ont interjeté recours contre la décision de la CFA afin de s’opposer à la constatation du non-assujettissement à la LDFR. Le quatrième s’en est toutefois rapporté à justice dans ses déterminations, après avoir développé une argumentation identique à celle des recourants. Le recours n’est dès lors pas susceptible de mettre en cause ses intérêts en tant que membre de la communauté. Les recourants pouvaient donc agir à titre individuel contre la décision attaquée, l’assujettissement ou non à la LDFR allant de pair avec l’existence ou l’absence d’obligations découlant de cette loi.</w:t>
      </w:r>
    </w:p>
    <w:p>
      <w:r>
        <w:t>Au vu de ce qui précède, les recourants ont la qualité pour recourir et le recours doit être déclaré recevable. 3)</w:t>
      </w:r>
    </w:p>
    <w:p>
      <w:r>
        <w:t>Le présent litige porte sur la conformité au droit de la décision de la CFA constatant le non-assujettissement de la parcelle no 2'238 de la commune à la LDFR. 4)</w:t>
      </w:r>
    </w:p>
    <w:p>
      <w:r>
        <w:t>Les recourants font grief à l’autorité intimée d’avoir changé de pratique sans motifs sérieux et objectifs et alors que l’ancienne pratique était conforme au droit.</w:t>
      </w:r>
    </w:p>
    <w:p>
      <w:r>
        <w:t>Selon la jurisprudence, pour être compatible avec le principe de la bonne foi découlant des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p. 82 ; 132 III 770 consid. 4 p. 777 ; 127 I 49 consid. 3c p. 52 ; 127 II 289 consid. 3a p. 292 s. et les références citées). 5) a.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de renforcer la position de l'exploitant à titre personnel, y compris celle du fermier, en cas d'acquisition d'entreprises et d'immeubles agricoles, de lutter contre les prix surfaits des terrains agricoles (art. 1 al. 1 LDFR).</w:t>
      </w:r>
    </w:p>
    <w:p>
      <w:r>
        <w:t>- 12/17 - A/1814/2013</w:t>
      </w:r>
    </w:p>
    <w:p>
      <w:r>
        <w:t>b. La LDFR s'applique aux immeubles agricoles isolés ou aux immeubles agricoles faisant partie d'une entreprise agricole qui sont situés en dehors d'une zone à bâtir au sens de l'art. 15 de la loi sur l'aménagement du territoire du 22 juin 1979 (LAT - RS 700) et dont l'utilisation agricole est licite (art. 2 al. 1 LDFR). Elle s'applique en outre aux immeubles situés en partie dans une zone à bâtir, tant qu'ils ne sont pas partagés conformément aux zones d'affectation (art. 2 al. 2 let. c LDFR). Elle ne s'applique pas aux immeubles de moins de quinze ares pour les vignes, ou de moins de vingt-cinq ares pour les autres terrains, qui ne font pas partie d'une entreprise agricole (art. 2 al. 3 LDFR).</w:t>
      </w:r>
    </w:p>
    <w:p>
      <w:r>
        <w:t>c. Les zones à bâtir comprennent les terrains propres à la construction qui sont déjà largement bâtis ou seront probablement nécessaires à la construction dans les quinze ans à venir et seront équipés dans ce laps de temps (art. 15 LAT, dans sa teneur jusqu’au 30 avril 2014).</w:t>
      </w:r>
    </w:p>
    <w:p>
      <w:r>
        <w:t>La zone à bâtir au sens de l'article 15 LAT est une notion de droit fédéral. Les cantons ne peuvent ni l'étendre, ni la restreindre (art. 49 Cst.). Elle comprend les diverses formes et utilisations de l'espace par la construction, et prend en droit cantonal autant de dénominations qu'il est nécessaire pour définir les différenciations appropriées - zone d'habitation, zone de village, zone de villas, zone centrale, zone de chalets, zone de maisons de vacances, zone hôtelière, zone de constructions d’intérêt public, zone industrielle, zone artisanale, zone d’activités, etc. On est en présence d’une zone à bâtir si l’affectation principale d’une zone permet qu’on y érige régulièrement des constructions qui n’ont rien à voir avec l’exploitation du sol (avant tout avec l’agriculture), ou dont la destination ne nécessite pas qu’elles soient installées dans un lieu déterminé (Alexandre FLÜCKIGER/Stéphane GRODECKI, Commentaire de la loi fédérale sur l’aménagement du territoire, 2010, n. 5 s. ad art. 15).</w:t>
      </w:r>
    </w:p>
    <w:p>
      <w:r>
        <w:t>d. Le droit cantonal peut prévoir d’autres zones d’affectation que les zones à bâtir, les zones agricoles et les zones à protéger (art. 18 al. 1 LAT). Il peut régler le cas des territoires non affectés ou de ceux dont l’affectation est différée (art. 18 al. 2 LAT). 6) a. Pour déterminer l’affectation du sol sur l’ensemble du territoire cantonal, celui-ci est réparti en zones, dont les périmètres sont fixés par des plans annexés à loi d’application de la LAT du 4 juin 1987 (LaLAT - L 1 30 ; art. 12 al. 1 LaLAT). Les zones sont de trois types : les zones ordinaires, les zones de développement et les zones protégées (art. 12 al. 2 LaLAT). Les zones ordinaires ont pour objet de définir l’affectation générale des terrains qu’elles englobent (art. 12 al. 3 LaLAT).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À l’intérieur de ces périmètres, le Conseil d’État peut, en vue de la</w:t>
      </w:r>
    </w:p>
    <w:p>
      <w:r>
        <w:t>- 13/17 - A/1814/2013 délivrance d’une autorisation de construire, autoriser le département à faire application des normes résultant de la zone de développement, en lieu et place de celles de la zone à laquelle elle se substitue (art. 12 al. 4 LaLAT).</w:t>
      </w:r>
    </w:p>
    <w:p>
      <w:r>
        <w:t>b. Parmi les zones ordinaires figurent les zones à bâtir, dont la cinquième zone, correspondant à une zone résidentielle destinée aux villas (art. 19 al. 3 LaLAT).</w:t>
      </w:r>
    </w:p>
    <w:p>
      <w:r>
        <w:t>c. Les zones de développement sont régies par la loi générale sur les zones de développement du 29 juin 1957 (LGZD - L 1 35 ; art. 30 LaLAT). Les dispositions de la LGZD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LGZD). La délivrance d’autorisations de construire selon les normes d’une zone de développement est subordonnée, sous réserve des demandes portant sur des objets de peu d’importance ou provisoires, à l’approbation préalable par le Conseil d’État d’un plan localisé de quartier (ci-après : PLQ), assorti d’un règlement (art. 2 al. 1 let. a LGZD), et des conditions particulières applicables au projet, sauf pour des demandes portant sur des objets à édifier dans les périmètres de développement de la cinquième zone résidentielle (art. 2 al. 1 let. b LGZD). En dérogation à l’art. 2 al. 1 let. a LGZD, le Conseil d'État peut, après consultation du Conseil administratif ou du maire de la commune, renoncer à l'établissement d'un PLQ dans les périmètres de développement de la cinquième zone résidentielle (art. 2 al. 2 let. c LGZD). 7) a. Le notaire peut constater qu’une transaction portant sur un immeuble situé en zone de développement, dont la zone ordinaire est agricole, n’est pas assujettie à la loi si l’immeuble est bâti, s’il est au bénéfice d’une autorisation de construire entrée en force ou s’il est inclus dans un PLQ ou d’autres plans d’affectation approuvés par le Conseil d’État et entrés en force (art. 10A al. 1 RaLDFR). b. Dans un arrêt non publié, le Tribunal fédéral a indiqué ce qui suit : « le recourant invoque l'égalité de traitement. Il se réfère à la parcelle no 2'800, qui a été classée en zone à bâtir (« zone de développement 4B protégée ») alors qu'elle est libre de toute construction et qu'elle n'aurait pas perdu sa vocation agricole » (arrêt du Tribunal fédéral 1C_417/2009 du 21 janvier 2010 consid. 5).</w:t>
      </w:r>
    </w:p>
    <w:p>
      <w:r>
        <w:t>Contrairement à ce que soutient l’État de Genève, cet arrêt ne traite pas de la qualification de la zone de développement constructible, avec zone primaire agricole, durant la phase s’étirant entre l’adoption de la zone de développement par le Grand Conseil et l’approbation du PLQ et des conditions particulières par le Conseil d’État. En effet, dans cette affaire, le recourant contestait le classement de</w:t>
      </w:r>
    </w:p>
    <w:p>
      <w:r>
        <w:t>- 14/17 - A/1814/2013 seulement une partie de sa parcelle en zone de développement 4B, concluant à ce que l’entier de sa parcelle soit classée en « zone à bâtir ». L’objet du litige portait ainsi sur le classement de la parcelle, sans que la question du moment du changement du régime juridique de la parcelle en raison de son classement en zone de développement ne soit abordée. 8)</w:t>
      </w:r>
    </w:p>
    <w:p>
      <w:r>
        <w:t>En l’espèce, la CFA a indiqué changer de pratique car son ancienne pratique, maintenant l’assujettissement à la LDFR, bloquait les projets de développements des parcelles sises en zone de développement sans que cela ne soit justifié par la LDFR.</w:t>
      </w:r>
    </w:p>
    <w:p>
      <w:r>
        <w:t>Toutefois, il ressort des textes tant de la LaLAT que de la LGZD que la délimitation d’une zone de développement par le Grand Conseil ne suffit pas à elle seule pour l’application des normes de la zone de développement. Ces dernières ne sont applicables qu’après autorisation du Conseil d’État ou renonciation à ce dernier à l’établissement d’un PLQ. Les normes de la zone primaire restent donc applicables à la zone de développement constructible aussi longtemps que le Conseil d’État n’a pas autorisé leur application en approuvant un PLQ, assorti d’un règlement, et les conditions particulières applicables au projet ou renonciation à l’établissement d’un PLQ. Ainsi, un terrain en zone agricole de développement demeure soumis aux normes applicables à la zone agricole jusqu’à autorisation d’application des normes de la zone de développement par le Conseil d’État ou renonciation à l’établissement d’un PLQ. Préalablement à cette autorisation ou renonciation, il continue dès lors à être situé hors zone à bâtir et rentre dans le champ d’application de la LDFR, à laquelle il reste assujetti.</w:t>
      </w:r>
    </w:p>
    <w:p>
      <w:r>
        <w:t>La lettre de l’art. 10A al 1 RaLDFR confirme cette interprétation, en exigeant que le bâtiment soit bâti, au bénéfice d’une autorisation de construire entrée en force ou inclus dans un PLQ ou d’autres plans d’affectation approuvés par le Conseil d’État.</w:t>
      </w:r>
    </w:p>
    <w:p>
      <w:r>
        <w:t>Cette interprétation du droit cantonal est en harmonie avec la définition de droit fédéral de la zone à bâtir faite par la LAT. Elle est également en harmonie avec le système de la LDFR, qui assujettit au droit foncier rural les immeubles situés à cheval dans une zone à bâtir et hors zone à bâtir.</w:t>
      </w:r>
    </w:p>
    <w:p>
      <w:r>
        <w:t>En conséquence, l’ancienne pratique de la CFA était conforme à la loi, alors même que la nouvelle pratique se heurte au texte légal, laquelle n’est par ailleurs par justifiée par un changement de droit ou de circonstances, ni motivée par un intérêt public. La CFA n’a au demeurant apporté qu’une motivation peu convaincante à l’appui de son changement de pratique.</w:t>
      </w:r>
    </w:p>
    <w:p>
      <w:r>
        <w:t>Au vu de ce qui précède, le changement de pratique opéré par la CFA est contraire au droit, de sorte que son ancienne pratique doit être maintenue. Sa décision de constatation de non-assujettissement de la parcelle no 2'238, qui n’a</w:t>
      </w:r>
    </w:p>
    <w:p>
      <w:r>
        <w:t>- 15/17 - A/1814/2013 pas fait l’objet d’un PLQ en application de la zone de développement cinq, doit en conséquence en principe être annulée. 9)</w:t>
      </w:r>
    </w:p>
    <w:p>
      <w:r>
        <w:t>L’État de Genève soutient toutefois qu’un refus de constatation du non- assujettissement serait contraire au principe d’égalité de traitement.</w:t>
      </w:r>
    </w:p>
    <w:p>
      <w:r>
        <w:t>a.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 b. Le principe de la légalité de l’activité administrative prévaut en principe sur celui de l’égalité de traitement. En conséquence, le justiciable ne peut généralement pas se prétendre victime d’une inégalité devant la loi lorsque celle- 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 136 I 65 consid. 5.6 p. 78 ; arrêt du Tribunal fédéral 1C_482/2010 du 14 avril 2011 consid. 5.1 ; ATA/352/2012 du 5 juin 2012 consid. 7). c. Le principe de l'égalité de traitement n'a qu'une portée très restreinte en matière d’aménagement du territoire (art. 8 Cst ; ATF 121 I 245 consid. 6e/bb p. 249 ; arrêt du Tribunal fédéral 1C.154/2007 du 29 août 2007 consid. 8.8 ; ATA/164/2014 du 18 mars 2014 consid. 11d). d. En l’espèce, la CFA a prononcé le désassujettissement de la parcelle no 1'932 alors que les conditions pour une constatation d’un non-assujettissement n’étaient a priori pas remplies. Il semble cependant qu’il s’agit d’un cas isolé. En effet, cette décision va à l’encontre de la pratique maintenue par la CFA jusqu’à la décision attaquée. L’État de Genève ne peut ainsi se prévaloir de ce désassujettissement pour invoquer le principe d’égalité dans l’illégalité et s’opposer à l’annulation de la constatation du non-assujettissement de la parcelle no 2'238, résultant d’une application correcte de la loi.</w:t>
      </w:r>
    </w:p>
    <w:p>
      <w:r>
        <w:t>Au vu de ce qui précède, le maintien de l’assujettissement de la parcelle no 2'238 à la LDFR n’est pas contraire au principe d’égalité de traitement.</w:t>
      </w:r>
    </w:p>
    <w:p>
      <w:r>
        <w:t>- 16/17 - A/1814/2013 10) Dans ces circonstances, le recours de Mme Danielle COEN, M. N. GAON et Mme Marguerite HERZOG sera admis et la décision litigieuse annulée, de sorte que la parcelle no 2'238 de la commune demeurera assujettie à la LDFR. 11) Vu l’issue du litige, un émolument de CHF 1'000.- sera mis à la charge de l’État de Genève, qui ne défend pas sa propre décision (art. 87 al. 1 LPA). Une indemnité de procédure de CHF 1'500.- sera allouée aux recourants, pris conjointement et solidairement,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