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ATA/856/2010 vom 15. November 2010</w:t>
      </w:r>
    </w:p>
    <w:p>
      <w:r>
        <w:t>GE Cour de justice, 2010-11-15, FR</w:t>
      </w:r>
    </w:p>
    <w:p>
      <w:r>
        <w:rPr>
          <w:b/>
        </w:rPr>
        <w:t xml:space="preserve">Quelle: </w:t>
      </w:r>
      <w:r>
        <w:t>https://mcp.opencaselaw.ch/entscheid/ge_gerichte_ATA_856_2010</w:t>
      </w:r>
    </w:p>
    <w:p>
      <w:r>
        <w:t>FR: GE_GERICHTE ATA/856/2010 du 15 novembre 2010</w:t>
      </w:r>
    </w:p>
    <w:p>
      <w:r>
        <w:t>IT: GE_GERICHTE ATA/856/2010 del 15 novembre 2010</w:t>
      </w:r>
    </w:p>
    <w:p>
      <w:pPr>
        <w:pStyle w:val="Heading2"/>
      </w:pPr>
      <w:r>
        <w:t>Erwägungen</w:t>
      </w:r>
    </w:p>
    <w:p>
      <w:r>
        <w:rPr>
          <w:b/>
        </w:rPr>
        <w:t>E. 1</w:t>
      </w:r>
    </w:p>
    <w:p>
      <w:r>
        <w:t>Interjeté le 25 novembre 2010, auprès de la juridiction compétente, le recours contre la décision du 15 novembre 2010 de la commission est recevable (art. 56A al. 1 et 2 de la loi sur l’organisation judiciaire du 22 novembre 1941 - LOJ - E 2 05 ; art. 10 al. 1 de la loi d'application de la loi fédérale sur les étrangers du 16 juin 1988 - LaLEtr - F 2 10 ; art. 17 et 63 al. 1 let. a de la loi sur la procédure administrative du 12 septembre 1985 - LPA - E 5 10).</w:t>
      </w:r>
    </w:p>
    <w:p>
      <w:r>
        <w:rPr>
          <w:b/>
        </w:rPr>
        <w:t>E. 2</w:t>
      </w:r>
    </w:p>
    <w:p>
      <w:r>
        <w:t>Selon l’art. 10 al. 2 LaLEtr, le Tribunal administratif doit juger dans les dix jours qui suivent sa saisine. Statuant ce jour, il respecte ce délai.</w:t>
      </w:r>
    </w:p>
    <w:p>
      <w:r>
        <w:rPr>
          <w:b/>
        </w:rPr>
        <w:t>E. 3</w:t>
      </w:r>
    </w:p>
    <w:p>
      <w:r>
        <w:t>Les conditions de délai minimales imposées par les art. 8 al. 3 et 9 al. 3 LaLEtr ayant été respectées, c'est à juste titre que la commission a abordé le fond du litige.</w:t>
      </w:r>
    </w:p>
    <w:p>
      <w:r>
        <w:rPr>
          <w:b/>
        </w:rPr>
        <w:t>E. 4</w:t>
      </w:r>
    </w:p>
    <w:p>
      <w:r>
        <w:t>La juridiction de céans est compétente pour apprécier l’opportunité des décisions portées devant elle (art. 10 al. 2 LaLEtr). Elle peut confirmer, réformer</w:t>
      </w:r>
    </w:p>
    <w:p>
      <w:r>
        <w:t>- 5/8 - A/3871/2010 ou annuler la décision attaquée ; cas échéant, elle ordonne la mise en liberté de l’étranger (art. 10 al. 3 LaLEtr).</w:t>
      </w:r>
    </w:p>
    <w:p>
      <w:r>
        <w:rPr>
          <w:b/>
        </w:rPr>
        <w:t>E. 5</w:t>
      </w:r>
    </w:p>
    <w:p>
      <w:r>
        <w:t>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LAsi - RS 142.31 (art. 76 al. 1 let. b ch. 3 LEtr). Il en va de même si son comportement permet de conclure qu’il se refuse à obtempérer aux instructions des autorités (art. 76 al. 1 let. b ch. 4 LEtr). Les art. 76 al. 1 let. b ch. 3 et 4 LEtr décrivent tous deux des comportements permettant de conclure à l’existence d’un risque de fuite ou de disparition. Ces deux éléments doivent donc être envisagés ensemble (Arrêt du Tribunal fédéral du 30 mars 2009 2C.128/2009, consid. 3.1).</w:t>
      </w:r>
    </w:p>
    <w:p>
      <w:r>
        <w:t>b. 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2C.400/2009, consid. 3.1).</w:t>
      </w:r>
    </w:p>
    <w:p>
      <w:r>
        <w:t>En l'occurrence, le recourant fait l'objet d'une décision de renvoi exécutoire. Il refuse de se conformer à celle-ci en quittant volontairement la Suisse et a refusé à deux reprises de déférer à l'injonction qui lui était faite de monter dans un avion pour son pays d'origine. Dès lors que l'exécution de son renvoi est liée à l'obtention d'un laissez-passer délivré par son pays d'origine, il ne peut choisir le pays où il veut se rendre. Les conditions de l’art. 76 al. 1 let. b ch. 3 et 4 LEtr sont réalisés et le risque de fuite ou de disparition de l'intéressé légitime son maintien en détention administrative.</w:t>
      </w:r>
    </w:p>
    <w:p>
      <w:r>
        <w:rPr>
          <w:b/>
        </w:rPr>
        <w:t>E. 6</w:t>
      </w:r>
    </w:p>
    <w:p>
      <w:r>
        <w:t>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w:t>
      </w:r>
    </w:p>
    <w:p>
      <w:r>
        <w:t>- 6/8 - A/3871/2010</w:t>
      </w:r>
    </w:p>
    <w:p>
      <w:r>
        <w:t>La jurisprudence a précisé que le juge de la détention est lié par la décision de renvoi, en particulier lorsqu'elle a été rendue dans le cadre d'une procédure d'asile (ATF 128 II 193 consid. 2.2.2 p. 197-198 et la jurisprudence citée). Il ne peut revoir la légalité de cette dernière que lorsqu'elle est manifestement contraire au droit ou clairement insoutenable au point d'apparaître nulle.</w:t>
      </w:r>
    </w:p>
    <w:p>
      <w:r>
        <w:t>S'il existe des faits nouveaux, postérieurs à la décision de renvoi, le juge de la détention peut en tenir compte. Cependant, il appartient en priorité à l'autorité compétente en matière de droit des étrangers de décider si le renvoi est exigible, le juge de la détention ne pouvant intervenir que si le caractère inexécutable de la décision de renvoi est patent (Arrêt du Tribunal fédéral 2C_445/2007 du 30 octobre 2007 et la jurisprudence citée).</w:t>
      </w:r>
    </w:p>
    <w:p>
      <w:r>
        <w:t>En l'espèce, le recourant n’invoque pas d’éléments nouveaux liés à son état de santé. Il affirme que son renvoi est impossible en raison de celui-ci ou illicite car cela l'exposerait à des poursuites pénales de nature politique. Il ne fournit cependant aucun élément, détail ou preuve permettant d'accréditer que des motifs de santé ou des motifs tirés d'une violation des engagements internationaux de la Suisse, empêcheraient l'exécution de la mesure de renvoi. Ces griefs seront donc écartés.</w:t>
      </w:r>
    </w:p>
    <w:p>
      <w:r>
        <w:rPr>
          <w:b/>
        </w:rPr>
        <w:t>E. 7</w:t>
      </w:r>
    </w:p>
    <w:p>
      <w:r>
        <w:t>Par sa durée, la détention administrative doit respecter le principe de la proportionnalité, garanti par l’art. 36 al. 3 de la Constitution fédérale de la Confédération suisse du 18 avril 1999 (Cst. - RS 101). En outre, les démarches nécessaires à l'exécution du renvoi ou de l'expulsion doivent être entreprises sans tarder (art. 76 al. 4 LEtr).</w:t>
      </w:r>
    </w:p>
    <w:p>
      <w:r>
        <w:t>A cet égard, le Tribunal administratif relèvera qu’aucun reproche ne peut être fait à l'OCP, qui a manifestement agi avec célérité et sans désemparer.</w:t>
      </w:r>
    </w:p>
    <w:p>
      <w:r>
        <w:rPr>
          <w:b/>
        </w:rPr>
        <w:t>E. 8</w:t>
      </w:r>
    </w:p>
    <w:p>
      <w:r>
        <w:t>Au vu de ce qui précède, le recours sera rejeté.</w:t>
      </w:r>
    </w:p>
    <w:p>
      <w:r>
        <w:t>Vu la nature du litige, aucun émolument ne sera perçu (art. 12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