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ATA/855/2014 vom 4. November 2014</w:t>
      </w:r>
    </w:p>
    <w:p>
      <w:r>
        <w:t>GE Cour de justice, 2014-11-04, FR</w:t>
      </w:r>
    </w:p>
    <w:p>
      <w:r>
        <w:rPr>
          <w:b/>
        </w:rPr>
        <w:t xml:space="preserve">Quelle: </w:t>
      </w:r>
      <w:r>
        <w:t>https://mcp.opencaselaw.ch/entscheid/ge_gerichte_ATA_855_2014</w:t>
      </w:r>
    </w:p>
    <w:p>
      <w:r>
        <w:t>FR: GE_GERICHTE ATA/855/2014 du 4 novembre 2014</w:t>
      </w:r>
    </w:p>
    <w:p>
      <w:r>
        <w:t>IT: GE_GERICHTE ATA/855/2014 del 4 novembre 2014</w:t>
      </w:r>
    </w:p>
    <w:p>
      <w:pPr>
        <w:pStyle w:val="Heading2"/>
      </w:pPr>
      <w:r>
        <w:t>Erwägungen</w:t>
      </w:r>
    </w:p>
    <w:p>
      <w:r>
        <w:rPr>
          <w:b/>
        </w:rPr>
        <w:t>E. 17</w:t>
      </w:r>
    </w:p>
    <w:p>
      <w:r>
        <w:t>février 2009 ; ATA/208/2005 du 12 avril 2005 ; Raphaël MAHLER, Réflexions sur la qualité pour recourir en droit administratif genevois in RDAF 1982, pp. 272 ss not. 274).</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(ATA/253/2013 du 23 avril 2013 consid. 2b ; ATA/193/2013 précité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(ATA/68/2012 précité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w:t>
      </w:r>
    </w:p>
    <w:p>
      <w:r>
        <w:t>- 4/6 - A/3014/2014 recourant puisse être influencée par l’annulation ou la modification de l’arrêt attaqué, ce qu’il lui appartient d’établir (ATF 120 Ib 431 consid. 1 p. 433). 4) a. De jurisprudence constante, le dénonciateur n’a pas qualité de partie dans une procédure disciplinaire engagée à l’encontre de personnes exerçant une profession réglementée, à l’instar des médecins ou des avocats (ATF 133 II 468 consid. 2 ; 132 II 250 consid. 4.2 et 4.4 ; ATF 120 Ib 351 ; ATA/132/2014 du 4 mars 2014 ; ATA/492/2013 du 30 juillet 2013 ; ATA/15/2011 du 11 janvier 2011).</w:t>
      </w:r>
    </w:p>
    <w:p>
      <w:r>
        <w:t>b. Ainsi,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(ibid. ; ATA/837/2012 du 18 décembre 2012 consid. 6 ; ATA/15/2011 précité consid. 4) ; s’il est informé de l’issue de celle-ci, il n’a pas automatiquement connaissance des considérants de la décision prise par la commission (art. 48 al. 1 de la loi sur la profession d’avocat du 26 avril 2002 - LPAv - E 6 10).</w:t>
      </w:r>
    </w:p>
    <w:p>
      <w:r>
        <w:t>c. Il existe certes des exceptions à la règle précitée. Ainsi, l’interdiction faite à un avocat de représenter une partie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dans un tel cas, celui qu’une décision prive de la possibilité de poursuivre la défense de ses intérêts par l’avocat de son choix, ou alors contraint de voir un ancien mandataire - ou l’associé de l’un de ses anciens mandataires - défendre les intérêts d’une partie adverse, est touché de manière directe et dispose d’un intérêt digne de protection, et donc aussi de la qualité pour recourir (ATF 138 II 162 consid. 2.5.2). 5)</w:t>
      </w:r>
    </w:p>
    <w:p>
      <w:r>
        <w:t>La présente espèce ne concerne toutefois pas un tel cas et la recourante ne fait valoir aucun intérêt digne de protection particulier permettant de retenir qu’elle ait, par exception au principe susévoqué, la qualité pour recourir contre la sanction infligée à l’avocat, même si la procédure a été engagée à la suite de sa dénonciation. 6)</w:t>
      </w:r>
    </w:p>
    <w:p>
      <w:r>
        <w:t>La recourante demande à ce que l’avocat qu’elle a dénoncé soit condamné à lui payer une indemnité de CHF 40’000.- en raison des manquements relevés par la commission. La chambre de céans, à l’instar de la commission, n’est pas compétente à raison de la matière pour juger de la responsabilité civile de l’avocat mandataire basée sur les art. 394 ss de la loi fédérale complétant le Code civil suisse du 30 mars 1911 (Livre cinquième : Droit des obligations - CO - RS 220)</w:t>
      </w:r>
    </w:p>
    <w:p>
      <w:r>
        <w:t>- 5/6 - A/3014/2014 qui est du seul ressort des juridictions civiles. Elle a déjà eu l’occasion de rappeler ce principe dans le cadre du contentieux disciplinaire relatif à des médecins suite à la plainte de patients privés (ATA/701/2010 du 12 octobre 2010 ; ATA/438/2006 du 31 août 2006). La même règle est valable pour les procédures civiles des clients d’un avocat.</w:t>
      </w:r>
    </w:p>
    <w:p>
      <w:r>
        <w:t>Dès lors, les conclusions en dédommagement de la recourante sont irrecevables.</w:t>
      </w:r>
    </w:p>
    <w:p>
      <w:r>
        <w:t>Il résulte de ce qui précède que l’entier du recours sera déclaré irrecevable, sans autre acte d’instruction (art. 72 LPA). 7)</w:t>
      </w:r>
    </w:p>
    <w:p>
      <w:r>
        <w:t>Malgré l’issue de celui-ci, aucun émolument ne sera mis à la charge de la recourante, celle-ci ayant pu se fier à la voie de droit indiquée dans la décision qui lui a été communiquée (art. 87 al. 1 LPA ; ATA/15/2011 précité consid. 4). Il ne sera pas alloué d’indemnité de procédure à l’avocat intimé, qui plaide en personne et n’a pas encouru de frais pour la présente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