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ATA/853/2021 vom 24. August 2021</w:t>
      </w:r>
    </w:p>
    <w:p>
      <w:r>
        <w:t>GE Cour de justice, 2021-08-24, FR</w:t>
      </w:r>
    </w:p>
    <w:p>
      <w:r>
        <w:rPr>
          <w:b/>
        </w:rPr>
        <w:t xml:space="preserve">Quelle: </w:t>
      </w:r>
      <w:r>
        <w:t>https://mcp.opencaselaw.ch/entscheid/ge_gerichte_ATA_853_2021</w:t>
      </w:r>
    </w:p>
    <w:p>
      <w:r>
        <w:t>FR: GE_GERICHTE ATA/853/2021 du 24 août 2021</w:t>
      </w:r>
    </w:p>
    <w:p>
      <w:r>
        <w:t>IT: GE_GERICHTE ATA/853/2021 del 24 agosto 2021</w:t>
      </w:r>
    </w:p>
    <w:p>
      <w:pPr>
        <w:pStyle w:val="Heading2"/>
      </w:pPr>
      <w:r>
        <w:t>Regeste</w:t>
      </w:r>
    </w:p>
    <w:p>
      <w:r>
        <w:t>Résumé: Recours de parents agissant pour le compte de leur fils mineur contre l’octroi par l’office de l’enfance et de la jeunesse d’une prestation d’enseignement spécialisé. Dans la mesure où la procédure d’évaluation standardisée (PES) a été effectuée plus d’un an avant l’octroi de la prestation et que le complément à cette PES date de plus de six mois, on ne peut exclure que les progrès effectués par l’enfant et décrits par ses parents ne rendent la prestation inadéquate. Recours admis.</w:t>
      </w:r>
    </w:p>
    <w:p>
      <w:pPr>
        <w:pStyle w:val="Heading2"/>
      </w:pPr>
      <w:r>
        <w:t>Erwägungen</w:t>
      </w:r>
    </w:p>
    <w:p>
      <w:r>
        <w:rPr>
          <w:b/>
        </w:rPr>
        <w:t>E. 26</w:t>
      </w:r>
    </w:p>
    <w:p>
      <w:r>
        <w:t>septembre 2010 - LOJ - E 2 05 ; art. 62 al. 1 let. a de la loi sur la procédure administrative du 12 septembre 1985 - LPA - E 5 10). 2) a. Selon l'art. 65 LPA, l'acte de recours contient sous peine d'irrecevabilité la désignation de la décision attaquée et des conclusions du recourant. L'acte de</w:t>
      </w:r>
    </w:p>
    <w:p>
      <w:r>
        <w:t>- 7/13 - A/2341/2021 recours contient également l'exposé des motifs et l'indication des moyens de preuve. Les pièces dont dispose le recourant doivent être jointes.</w:t>
      </w:r>
    </w:p>
    <w:p>
      <w:r>
        <w:t>b. Compte tenu du caractère peu formaliste de cette disposition, la jurisprudence fait preuve d'une certaine souplesse s'agissant de la manière par laquelle sont formulées les conclusions du recourant. L'exigence de motivation de l'art. 65 al. 2 LPA a pour but de permettre à la juridiction administrative de déterminer l'objet du litige qui lui est soumis et de donner l'occasion à la partie intimée de répondre aux griefs formulés à son encontre (ATA/64/2021 du 19 janvier 2021 consid. 2). L'exigence de la motivation est considérée comme remplie lorsque les motifs du recours, sans énoncer les conclusions formelles, permettent de comprendre aisément ce que la personne recourante désire (ATA/604/2021 du 8 juin 2021 consid. 2a et les références citées).</w:t>
      </w:r>
    </w:p>
    <w:p>
      <w:r>
        <w:t>c. L'absence de conclusion ne peut être réparée que dans le délai de recours. Hors ce délai, le fait d'être autorisé à compléter une écriture ne permet pas de suppléer le défaut de conclusions (ATA/794/2019 du 16 avril 2019 consid. 2b). De nouvelles conclusions ne peuvent pas non plus être présentées dans le mémoire de réplique (Stéphane GRODECKI/Romain JORDAN, Code annoté de procédure administrative genevoise, 2017, n. 813 p. 217).</w:t>
      </w:r>
    </w:p>
    <w:p>
      <w:r>
        <w:t>d. En l'espèce, les recourants n'ont, dans leur acte de recours, pas pris de conclusions formelles, en particulier ils n'ont pas conclu expressément à l'annulation de la décision attaquée. Il ressort toutefois de leur recours qu'ils contestent l'octroi de la prestation d'enseignement spécialisé. Leur recours est donc recevable sous cet angle également.</w:t>
      </w:r>
    </w:p>
    <w:p>
      <w:r>
        <w:t>Dans leur réplique du 26 juillet 2021, les recourants ont conclu à l'obtention d'une contre-expertise et à l'octroi d'un nouveau délai pour permettre à leur enfant d'être examiné par un spécialiste. Présentées dans leur mémoire de réplique, ces conclusions sont irrecevables. 3)</w:t>
      </w:r>
    </w:p>
    <w:p>
      <w:r>
        <w:t>Le litige porte sur la conformité au droit de la décision d’octroi de la prestation d’enseignement spécialisé à l’enfant des recourants. 4) a. Selon l’art. 61 al. 1 LPA, le recours peut être formé pour violation du droit, y compris l’excès et l’abus du pouvoir d’appréciation (let. a), ou pour constatation inexacte ou incomplète des faits pertinents (let. b). Les juridictions administratives n’ont pas la compétence pour apprécier l’opportunité de la décision attaquée, sauf exceptions prévues par la loi (art. 61 al. 2 LPA), non réalisées dans le cas d’espèce.</w:t>
      </w:r>
    </w:p>
    <w:p>
      <w:r>
        <w:t>b. Selon l’art. 62 al. 3 de la Constitution fédérale de la Confédération suisse du 18 avril 1999 (Cst. - RS 101), les cantons pourvoient à une formation spéciale</w:t>
      </w:r>
    </w:p>
    <w:p>
      <w:r>
        <w:t>- 8/13 - A/2341/2021 suffisante pour les enfants et adolescents handicapés – terme qui inclut les enfants à besoins éducatifs particuliers –, au plus tard jusqu'à leur vingtième anniversaire.</w:t>
      </w:r>
    </w:p>
    <w:p>
      <w:r>
        <w:t>c. Pour mettre en œuvre l'art. 62 al. 3 Cst., la Conférence suisse des directeurs cantonaux de l'instruction publique (ci-après : CDIP) a, le 25 octobre 2007, adopté l'Accord intercantonal sur la collaboration dans le domaine de la pédagogie spécialisée (AICPS - C 1 08), qui est entré en vigueur le 1er janvier 2011 et auquel la République et canton de Genève est partie (C 1 08.0). Cet accord a pour finalité la collaboration entre cantons signataires dans le domaine de la pédagogie spécialisée, laquelle fait partie du mandat public de formation (art. 1 et 2 let. a AICPS).</w:t>
      </w:r>
    </w:p>
    <w:p>
      <w:r>
        <w:t>Lorsque les mesures octroyées dans le cadre de l'école ordinaire s'avèrent insuffisantes, une décision quant à l'attribution de mesures renforcées doit être prise sur la base de la détermination des besoins individuels (art. 5 al. 1 AICPS).</w:t>
      </w:r>
    </w:p>
    <w:p>
      <w:r>
        <w:t>La détermination des besoins individuels prévue à l'art. 5 al. 1 se fait dans le cadre d'une PES, confiée par les autorités compétentes à des services d'évaluation distincts des prestataires (art. 6 al. 3 AICPS).</w:t>
      </w:r>
    </w:p>
    <w:p>
      <w:r>
        <w:t>d. En référence aux principes de l’école inclusive mentionnés à l’art. 10 al. 2 de la loi sur l’instruction publique du 17 septembre 2015 (LIP - C 1 10) et dans l’AICPS, le DIP met en place les mesures de pédagogie spécialisée destinées aux enfants et aux jeunes à besoins éducatifs particuliers ou handicapés. Les plans d’études constituent la référence commune à tous les élèves qui fréquentent l’école, quels que soient leurs besoins particuliers (art. 28 al. 1 et 2 LIP).</w:t>
      </w:r>
    </w:p>
    <w:p>
      <w:r>
        <w:t>De la naissance à l’âge de vingt ans révolus, les enfants et les jeunes qui ont leur domicile dans le canton ont droit à des prestations de pédagogie spécialisée s’il est établi qu’ils sont entravés dans leurs possibilités de développement et de formation au point qu’ils ne pourront pas ou ne peuvent plus suivre l’enseignement régulier sans soutien spécifique, ou lorsqu’un autre besoin éducatif particulier a été constaté (art. 30 LIP).</w:t>
      </w:r>
    </w:p>
    <w:p>
      <w:r>
        <w:t>La détermination des besoins de pédagogie spécialisée se fait dans le cadre d'une PES, confiée par l'autorité compétente à des structures d'évaluation reconnues (art. 31 al. 3 LIP).</w:t>
      </w:r>
    </w:p>
    <w:p>
      <w:r>
        <w:t>Les parents sont associés à la procédure de décision relative à l’attribution des mesures de pédagogie spécialisée (art. 32 al. 2 LIP). Chaque bénéficiaire des mesures de pédagogie spécialisée est intégré dans la structure d’enseignement ou de formation la plus adaptée à ses besoins et visant à la plus grande autonomie à sa majorité, tout en répondant aux besoins de tous les élèves ou apprentis de la classe (art. 32 al. 3 LIP).</w:t>
      </w:r>
    </w:p>
    <w:p>
      <w:r>
        <w:t>- 9/13 - A/2341/2021</w:t>
      </w:r>
    </w:p>
    <w:p>
      <w:r>
        <w:t>Selon l'art. 33 al. 1 LIP, les prestations de pédagogie spécialisée comprennent : le conseil, le soutien, l’éducation précoce spécialisée, la logopédie et la psychomotricité (let. a) ; des mesures de pédagogie spécialisée dans un établissement d’enseignement régulier ou spécialisé (let. b) ; la prise en charge en structure de jour ou à caractère résidentiel dans une institution de pédagogie spécialisée (let. c).</w:t>
      </w:r>
    </w:p>
    <w:p>
      <w:r>
        <w:t>L'art. 34 LIP prévoit qu'afin de garantir les meilleures chances d’autonomie à la majorité : toutes les personnes responsables de la prise en charge d’un enfant ou d’un jeune, quel que soit son âge, sont tenues d’informer les parents du handicap qu’elles observent dans le cadre de leur fonction (let. a); les parents d’un enfant ou d’un jeune à besoins éducatifs particuliers ou handicapé le signalent à l’autorité compétente le plus rapidement possible, afin qu’une évaluation des besoins de l’enfant ou du jeune puisse être effectuée et que des mesures d’intégration préscolaire, scolaire ou professionnelle puissent être mises en place (let. b) ; en l’absence de signalement précoce, il incombe aux autorités scolaires d’informer l’autorité compétente et de décider des mesures transitoires (let. c) ; lorsque l’enfant atteint l’âge de scolarité obligatoire, les parents l’inscrivent à l’école conformément aux dispositions de la présente loi (let. d). 5) a. L'OMP est, au sein du DIP, l'autorité scolaire responsable de l'enseignement spécialisé public et subventionné. Il est l'autorité compétente pour décider de l'intégration totale, partielle ou non indiquée dans l'enseignement public ordinaire d'un élève à besoins éducatifs particuliers ou handicapé. Il statue sur préavis de la direction générale du degré d'enseignement concerné et en concertation avec les responsables légaux de l'élève (art. 3 al. 1 et 2 du règlement sur l'intégration des enfants et des jeunes à besoins éducatifs particuliers ou handicapés du 21 septembre 2011 - RIJBEP - C 1 12.01, applicable au moment du prononcé de la décision litigieuse ; le RIJBEP a été abrogé suite à l'entrée en vigueur le 30 juin 2021 du règlement sur la pédagogie spécialisée - RPSpéc - C 1 12.05 ).</w:t>
      </w:r>
    </w:p>
    <w:p>
      <w:r>
        <w:t>Selon l'art. 6 al. 1 let. b RIJBEP, l'OMP est une des structures d'évaluation des besoins individuels de pédagogie spécialisée reconnues au sens de l'art. 31 al. 3 LIP.</w:t>
      </w:r>
    </w:p>
    <w:p>
      <w:r>
        <w:t>b. Le SPS est l'autorité compétente pour l'octroi des mesures individuelles renforcées en pédagogie spécialisée et pour leur financement, hormis celui de l'enseignement spécialisé dispensé en école privée non subventionnée ou à domicile. Il est également compétent pour la reconnaissance des structures d'évaluation des besoins individuels des enfants et des jeunes et pour l'évaluation périodique des institutions accréditées. Il comporte une unité clinique pluridisciplinaire composée de professionnels en exercice, spécialistes des domaines concernés, dont une directrice ou un directeur en scolarité spécialisée et une ou un pédopsychiatre référent en exercice. Le SPS est rattaché à l’OEJ (art. 5 RIJBEP).</w:t>
      </w:r>
    </w:p>
    <w:p>
      <w:r>
        <w:t>- 10/13 - A/2341/2021</w:t>
      </w:r>
    </w:p>
    <w:p>
      <w:r>
        <w:t>c. Aux termes de l’art. 10 RIJBEP, l'offre en matière de pédagogie spécialisée couvre les prestations énoncées ci-après, soit conseil et soutien (al. 2), éducation précoce spécialisée (al. 3), mesures de pédagogie spécialisée en classe ordinaire (al. 4), l’enseignement spécialisé (al. 5), la logopédie (al. 6), la psychomotricité (al. 7), les repas et/ou le logement (al. 8), les transports des enfants et des jeunes (al. 9 et 10).</w:t>
      </w:r>
    </w:p>
    <w:p>
      <w:r>
        <w:t>L’enseignement spécialisé tel que prévu à l'art. 10 al. 5 RIJBEP comprend l'enseignement permettant d'apporter des réponses pédagogiques aux élèves à besoins éducatifs particuliers ou handicapés. Il est dispensé dans les classes spécialisées au sein des établissements scolaires ordinaires, dans les écoles spécialisées publiques ou privées accréditées ou dans les institutions à caractère résidentiel accréditées (ci-après : structures d'enseignement spécialisé de jour ou à caractère résidentiel). La prestation d'enseignement spécialisé comprend également l'encadrement éducatif et les mesures pédago-thérapeutiques nécessaires (logopédie, psychomotricité, éducation précoce spécialisée).</w:t>
      </w:r>
    </w:p>
    <w:p>
      <w:r>
        <w:t>d. Lorsque l'école pressent chez un élève ou un jeune un besoin susceptible de faire l’objet d’une mesure individuelle renforcée en pédagogie spécialisée, elle le signale aux représentants légaux et leur propose sa collaboration pour le dépôt de la demande (art. 19 al. 3 RIJBEP).</w:t>
      </w:r>
    </w:p>
    <w:p>
      <w:r>
        <w:t>À défaut de dépôt de demande relative à une mesure d'enseignement spécialisé par les représentants légaux, la direction de l'établissement scolaire signale la situation à l’OMP et en informe par écrit les représentants légaux. Sur la base de l'évaluation scolaire de l'élève et si nécessaire, l’OMP signale la situation au SPS et décide des mesures de scolarisation transitoires nécessaires (art. 19 al. 5 RIJBEP).</w:t>
      </w:r>
    </w:p>
    <w:p>
      <w:r>
        <w:t>e. Selon l’art. 20 RIJBEP, conformément à l'art. 13 RIJBEP, le SPS s'appuie sur la PES pour l'évaluation initiale des besoins de l'enfant ou du jeune. Il confie cette évaluation aux structures reconnues définies à l'art. 6 al. 1 RIJBEP (al. 1). Dans le cadre de cette évaluation et avec l'accord des représentants légaux ou du jeune majeur, le SPS est habilité à se procurer auprès des autorités, des médecins traitants, des thérapeutes ou de tout autre service spécialisé les documents, les renseignements et les données personnelles nécessaires. De même, il peut faire procéder à une expertise médicale ou technique à laquelle les enfants et les jeunes concernés sont tenus de se soumettre (al. 2).</w:t>
      </w:r>
    </w:p>
    <w:p>
      <w:r>
        <w:t>La PES est un instrument du concordat sur la pédagogie spécialisée. Les cantons recourent à cet instrument lorsqu'il s'agit d'attribuer des mesures renforcées de pédagogie spécialisée (sur le site de la CDIP consulté le 19 août 2021 : https://www.cdip.ch/fr/themes/pedagogie-specialisee). La PES prend en considération les compétences et difficultés de l'enfant mais aussi les caractéristiques environnementales (familiales et scolaires) dans lesquelles il vit.</w:t>
      </w:r>
    </w:p>
    <w:p>
      <w:r>
        <w:t>- 11/13 - A/2341/2021 Elle permet ainsi de se prononcer sur les possibilités d'adaptation de l'environnement aux difficultés de l'enfant. L'application de cette procédure doit garantir une égalité de traitement de toutes les demandes (site de la CDIP, op. cit. ; concept cantonal pour la pédagogie spécialisée à Genève, élaboré par le DIP, version adoptée par le Conseil d'État le 7 février 2018 et en vigueur au moment du prononcé de la décision litigieuse, pp. 8-9, https://www.csps.ch/fr/themes-de-la-pedagogie-specialisee/cadre-legal-et- financier/concepts-cantonaux ; depuis le 30 juin 2021, le concept cantonal pour la pédagogie spécialisée à Genève de février 2018 est remplacé par le RPSpéc : https://www.ge.ch/document/concept-cantonal-pedagogie-specialisee-geneve).</w:t>
      </w:r>
    </w:p>
    <w:p>
      <w:r>
        <w:t>f. Les représentants légaux et le mineur capable de discernement sont associés aux étapes de la procédure de décision. Ils ont accès au dossier et peuvent obtenir copie des pièces (art. 22 al. 1 RIJBEP). Ils peuvent s'exprimer à tout moment de la procédure oralement ou par écrit. Leur droit d'être entendu est respecté avant toute décision (art. 22 al. 2 RIJBEP).</w:t>
      </w:r>
    </w:p>
    <w:p>
      <w:r>
        <w:t>L'appréciation de professionnels extérieurs à la structure scolaire ou préscolaire doit être également prise en compte s'ils sont impliqués dans le suivi de l'enfant (Concept cantonal pour la pédagogie spécialisée à Genève, op. cit.). 6)</w:t>
      </w:r>
    </w:p>
    <w:p>
      <w:r>
        <w:t>Dans le cas d’espèce, les parents ne soulèvent aucun grief quant au suivi et au respect par l'autorité de la procédure prévue en matière de PES. Ils ont donné leur accord pour engager la procédure et ont signé la PES sans faire état d’un désaccord, en particulier avec l’évaluation des besoins ou avec la prestation envisagée. Ils relèvent, dans un courrier à la directrice de l’établissement primaire, qu’ils auraient été manipulés mais ne démontrent à aucun moment en quoi aurait consisté cette manipulation.</w:t>
      </w:r>
    </w:p>
    <w:p>
      <w:r>
        <w:t>Cela étant, les parents font maintenant état de leur opposition à la prestation d’enseignement spécialisé. Ils justifient leur opposition au vu des progrès que leur fils aurait réalisés pendant l’année scolaire. Ils mettent en évidence ses compétences dans l’apprentissage des langues, sa maîtrise des mathématiques et son adaptation aux règles de la vie sociale. Ils se réfèrent aux progrès constatés par l’équipe du parascolaire, l’école ou la pédopsychiatre de l’enfant. Or, rien au dossier ne permet de confirmer ou d’infirmer que ces progrès existent. La décision litigieuse a été rendue plus d’une année après que la PES a été signée par les parents en mai 2020. Le dossier, outre les éventuels obstacles dus à la situation sanitaire, ne permet pas de comprendre ce qui a justifié un tel délai. À teneur de la PES, le bilan et le suivi thérapeutique individuel ont été suspendus en raison de la situation sanitaire. Un groupe de guidance parentale et un accompagnement social n’ont pas pu être mis en place pour les mêmes raisons. On ignore toutefois si ces appuis ont finalement pu être mis sur pied, ni quels effets ils ont eu, le cas échéant, sur l’enfant. La recommandation, que l’autorité intimée expose avoir reçue le 9 juillet 2020, n'est ni motivée, ni datée, ni signée. Certes, un complément</w:t>
      </w:r>
    </w:p>
    <w:p>
      <w:r>
        <w:t>- 12/13 - A/2341/2021 à la PES a été transmis au SPS. Mais il a été transmis en décembre 2020, soit six mois avant le prononcé de la décision litigieuse. Ce complément contient un document intitulé « complément d’informations » qui fait, entre autres, le constat des compétences de l’enfant dans l’apprentissage des mathématiques en particulier. Ce « complément d’informations » met également en évidence les problèmes comportementaux qu’il rencontre, notamment dans ses relations avec les autres enfants. Ce « complément d’informations » n’est ni daté ni signé, de sorte qu’on ignore qui en est l’auteur. On ignore également si les parents, ou d’autres intervenants, ont été associés à l’élaboration de ce document.</w:t>
      </w:r>
    </w:p>
    <w:p>
      <w:r>
        <w:t>Compte tenu de ce qui précède, et sans remettre en doute la pertinence des constats mentionnés dans la PES, on ne peut exclure qu’elle ne corresponde plus aux compétences d’apprentissage et comportementales de l’enfant, rien ne permettant d’exclure que les progrès signalés par les parents sont réels. La prestation préconisée serait alors susceptible de ne plus répondre aux besoins réels de l’enfant.</w:t>
      </w:r>
    </w:p>
    <w:p>
      <w:r>
        <w:t>Le recours sera admis, la décision du 24 juin 2021 sera annulée et la procédure retournée au SPS afin qu’il établisse au besoin une nouvelle PES ou un complément de PES, sollicite une recommandation motivée et prépare une nouvelle décision motivée en donnant aux recourants l’occasion d’exercer leur droit d’être entendus.</w:t>
      </w:r>
    </w:p>
    <w:p>
      <w:r>
        <w:t>Vu la nature de la procédure et l’issue du litige, aucun émolument ne sera perçu (art. 87 al. 1 LPA ; art. 11 du règlement sur les frais, émoluments et indemnités en procédure administrative du 30 juillet 1986 - RFPA - E 5 10.03). Aucune indemnité de procédure ne sera allouée, les parents n’y ayant pas conclu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