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ATA/853/2018 vom 21. August 2018</w:t>
      </w:r>
    </w:p>
    <w:p>
      <w:r>
        <w:t>GE Cour de justice, 2018-08-21, FR</w:t>
      </w:r>
    </w:p>
    <w:p>
      <w:r>
        <w:rPr>
          <w:b/>
        </w:rPr>
        <w:t xml:space="preserve">Quelle: </w:t>
      </w:r>
      <w:r>
        <w:t>https://mcp.opencaselaw.ch/entscheid/ge_gerichte_ATA_853_2018</w:t>
      </w:r>
    </w:p>
    <w:p>
      <w:r>
        <w:t>FR: GE_GERICHTE ATA/853/2018 du 21 août 2018</w:t>
      </w:r>
    </w:p>
    <w:p>
      <w:r>
        <w:t>IT: GE_GERICHTE ATA/853/2018 del 21 agosto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vente à l’emporter de boissons alcooliques est régie par la LVEBA.</w:t>
      </w:r>
    </w:p>
    <w:p>
      <w:r>
        <w:rPr>
          <w:b/>
        </w:rPr>
        <w:t>E. 3</w:t>
      </w:r>
    </w:p>
    <w:p>
      <w:r>
        <w:t>a. La vente à l’emporter de boissons alcooliques dans des commerces est soumise à l’obtention préalable d’une autorisation délivrée par le département de la sécurité et de l’économie devenu depuis lors, le département de la sécurité (ci-après : le département ; art. 5 al. 1 LVEBA).</w:t>
      </w:r>
    </w:p>
    <w:p>
      <w:r>
        <w:t>b.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Elle est délivrée pour un établissement et des locaux déterminés (art. 8 al.1 LVEBA).</w:t>
      </w:r>
    </w:p>
    <w:p>
      <w:r>
        <w:rPr>
          <w:b/>
        </w:rPr>
        <w:t>E. 4</w:t>
      </w:r>
    </w:p>
    <w:p>
      <w:r>
        <w:t>a. La vente de boissons alcooliques à l’emporter est interdite de 21h00 à 7h00, indépendamment des dispositions de la loi sur les heures d'ouverture des magasins du 15 novembre 1968 (LHOM - I 1 05 ; art. 11 al. 1 LVEBA), sauf dans les établissements autorisés au sens de la loi sur la restauration, le débit de boissons, l’hébergement et le divertissement du 19 mars 2015 (LRDBHD - I 2 22).</w:t>
      </w:r>
    </w:p>
    <w:p>
      <w:r>
        <w:t>- 5/9 - A/3828/2017</w:t>
      </w:r>
    </w:p>
    <w:p>
      <w:r>
        <w:t>b. Durant l'interdiction visée à l'art. 11 al. 1 LVEBA, les boissons alcooliques sont mises sous clef et soustraites à la vue du public, ces mesures ne s'appliquant pas aux entreprises autorisées au sens de la LRDBHD (art. 5 al. 2 LVEBA).</w:t>
      </w:r>
    </w:p>
    <w:p>
      <w:r>
        <w:rPr>
          <w:b/>
        </w:rPr>
        <w:t>E. 5</w:t>
      </w:r>
    </w:p>
    <w:p>
      <w:r>
        <w:t>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w:t>
      </w:r>
    </w:p>
    <w:p>
      <w:r>
        <w:rPr>
          <w:b/>
        </w:rPr>
        <w:t>E. 6</w:t>
      </w:r>
    </w:p>
    <w:p>
      <w:r>
        <w:t>Le recourant ne conteste pas dans la présente procédure les faits à l'origine de la sanction attaquée.</w:t>
      </w:r>
    </w:p>
    <w:p>
      <w:r>
        <w:t>Ceux-ci résultent d'un rapport de police établi par des agents assermentés, et aucun élément au dossier ne permet de s'en écarter, si bien que ces faits doivent être considérés comme avérés, selon la jurisprudence constante de la chambre de céans (ATA/240/2017 du 28 février 2017 ; ATA/991/2016 du 22 novembre 2016 consid. 3c et les arrêts cités).</w:t>
      </w:r>
    </w:p>
    <w:p>
      <w:r>
        <w:t>Il en découle que le PCTN était en droit de sanctionner le recourant en application de l’art. 14 LVEBA.</w:t>
      </w:r>
    </w:p>
    <w:p>
      <w:r>
        <w:rPr>
          <w:b/>
        </w:rPr>
        <w:t>E. 7</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(ATA/383/2017 du 4 avril 2017 consid. 7b et les références citées).</w:t>
      </w:r>
    </w:p>
    <w:p>
      <w:r>
        <w:t>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Enfin, l’amende doit respecter le principe de la proportionnalité (ATA/991/2016 précité consid. 6a).</w:t>
      </w:r>
    </w:p>
    <w:p>
      <w:r>
        <w:t>Ces principes ont déjà été appliqués par la chambre de céans à des sanctions administratives autres qu'à des amendes, notamment à une fermeture</w:t>
      </w:r>
    </w:p>
    <w:p>
      <w:r>
        <w:t>- 6/9 - A/3828/2017 d'établissement (ATA/1373/2017 du 10 octobre 2017 consid. 6), et ceux-ci doivent donc être considérés comme valant, mutatis mutandis, dans le cas d'espèce.</w:t>
      </w:r>
    </w:p>
    <w:p>
      <w:r>
        <w:t>b.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w:t>
      </w:r>
    </w:p>
    <w:p>
      <w:r>
        <w:rPr>
          <w:b/>
        </w:rPr>
        <w:t>E. 8</w:t>
      </w:r>
    </w:p>
    <w:p>
      <w:r>
        <w:t>Si la LVEBA ne contient aucune réglementation spécifique concernant la prise en compte des antécédents, on peut admettre une application par analogie de l'art. 49 CP, et à plus forte raison une utilisation d'antécédents remontant à trois ans.</w:t>
      </w:r>
    </w:p>
    <w:p>
      <w:r>
        <w:t>Or, force est de constater que le recourant a fait l'objet d'une décision de fermeture de son établissement pour dix jours en 2014, ceci pour violation répétée de la LVEBA en matière de vente d'alcool en dehors des heures autorisées. Contrairement à ce qu'allègue le recourant, cette sanction n'a pas « remis les compteurs à zéro » et n'empêche pas la prise en compte, dans une limite temporelle raisonnable, de cet antécédent.</w:t>
      </w:r>
    </w:p>
    <w:p>
      <w:r>
        <w:t>De plus, la sanction attaquée prend également en compte, à juste titre, le mode opératoire mis en place par le recourant pour violer la loi, qui dénote une volonté certaine de ne pas respecter une règle qui s'imposait à lui, et qu'il ne pouvait ignorer vu ses précédents démêlés avec le PCTN à ce sujet.</w:t>
      </w:r>
    </w:p>
    <w:p>
      <w:r>
        <w:t>L'ordre de fermeture pour une durée de vingt jours est dès lors conforme au principe de la proportionnalité, le grief du recourant à cet égard devant être écarté.</w:t>
      </w:r>
    </w:p>
    <w:p>
      <w:r>
        <w:rPr>
          <w:b/>
        </w:rPr>
        <w:t>E. 9</w:t>
      </w:r>
    </w:p>
    <w:p>
      <w:r>
        <w:t>a. Une décision viole le principe de l’égalité de traitement garanti par l’art. 8 Cst. lorsqu’elle établit des distinctions juridiques qui ne se justifient par aucun motif raisonnable au regard de la situation de fait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w:t>
      </w:r>
    </w:p>
    <w:p>
      <w:r>
        <w:t>- 7/9 - A/3828/2017 ATA/610/2017 du 30 mai 2017 ; Vincent MARTENET, Géométrie de l'égalité, 2003, p. 260 ss).</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AUER/Giorgio MALINVERNI/ Michel HOTTELIER, Droit constitutionnel suisse, 2013, vol. 2, 3ème éd., p. 500/501 n. 1074-1076 ; Pierre MOOR/Alexandre FLÜCKIGER/ Vincent MARTENET, Droit administratif, 2012, vol. 1, 3ème éd., p. 627 ss n. 4.1.1.4 ; Vincent MARTENET, op. cit.).</w:t>
      </w:r>
    </w:p>
    <w:p>
      <w:r>
        <w:t>c. En matière de quotité des sanctions – pénales comme administratives –, toute comparaison avec d'autres affaires est délicate vu les nombreux paramètres entrant en ligne de compte pour la fixation de la sanction ; il ne suffit d'ailleurs pas que le justiciable puisse citer un ou deux cas où une sanction particulièrement clémente a été fixée pour prétendre à un droit à l'égalité de traitement. Les disparités en cette matière s'expliquent normalement par le principe de l'individualisation des sanctions, voulu par le législateur, et elles ne suffisent pas en elles-mêmes pour conclure à un abus du pouvoir d'appréciation (ATF 141 IV 61 consid. 6.3.2).</w:t>
      </w:r>
    </w:p>
    <w:p>
      <w:r>
        <w:rPr>
          <w:b/>
        </w:rPr>
        <w:t>E. 10</w:t>
      </w:r>
    </w:p>
    <w:p>
      <w:r>
        <w:t>En l'espèce, le recourant cite deux affaires traitées par la chambre de céans, dans lesquelles la durée du premier ordre de fermeture était de sept jours, et la durée du second de quatorze jours (ATA/413/2017 du 11 avril 2017 ; ATA/1162/2015 du 27 octobre 2015). Mais dans la première affaire, un seul avertissement avait été adressé à l'administré avant de lui infliger la première mesure de fermeture ; et dans la seconde, la gravité de la faute des intéressés était moindre, dans la mesure où ils n'avaient pas, comme le recourant, mis en place un système élaboré de fraude.</w:t>
      </w:r>
    </w:p>
    <w:p>
      <w:r>
        <w:t>La sanction infligée résiste dès lors également au grief de violation de l'égalité de traitement, si bien que le recours doit être rejeté.</w:t>
      </w:r>
    </w:p>
    <w:p>
      <w:r>
        <w:rPr>
          <w:b/>
        </w:rPr>
        <w:t>E. 11</w:t>
      </w:r>
    </w:p>
    <w:p>
      <w:r>
        <w:t>Vu l’issue de la procédure, un émolument de CHF 500.- sera mis à la charge du recourant, qui succombe (art. 87 al. 1 LPA), et aucune indemnité de procédure ne lui sera allouée (art. 87 al. 2 LPA). * * * * *</w:t>
      </w:r>
    </w:p>
    <w:p>
      <w:r>
        <w:t>- 8/9 - A/3828/2017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