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ATA/852/2012 vom 20. Dezember 2012</w:t>
      </w:r>
    </w:p>
    <w:p>
      <w:r>
        <w:t>GE Cour de justice, 2012-12-20, FR</w:t>
      </w:r>
    </w:p>
    <w:p>
      <w:r>
        <w:rPr>
          <w:b/>
        </w:rPr>
        <w:t xml:space="preserve">Quelle: </w:t>
      </w:r>
      <w:r>
        <w:t>https://mcp.opencaselaw.ch/entscheid/ge_gerichte_ATA_852_2012</w:t>
      </w:r>
    </w:p>
    <w:p>
      <w:r>
        <w:t>FR: GE_GERICHTE ATA/852/2012 du 20 décembre 2012</w:t>
      </w:r>
    </w:p>
    <w:p>
      <w:r>
        <w:t>IT: GE_GERICHTE ATA/852/2012 del 20 dicembre 2012</w:t>
      </w:r>
    </w:p>
    <w:p>
      <w:pPr>
        <w:pStyle w:val="Heading2"/>
      </w:pPr>
      <w:r>
        <w:t>Erwägungen</w:t>
      </w:r>
    </w:p>
    <w:p>
      <w:r>
        <w:rPr>
          <w:b/>
        </w:rPr>
        <w:t>E. 1</w:t>
      </w:r>
    </w:p>
    <w:p>
      <w:r>
        <w:t>Interjeté en temps utile devant la juridiction compétente, le recours est prima facie recevable (art. 132 de la loi sur l'organisation judiciaire du 26 septembre 2010 - LOJ - E 2 05 ; art. 62 al. 1 let. b de la loi sur la procédure administrative du 12 septembre 1985 - LPA - E 5 10).</w:t>
      </w:r>
    </w:p>
    <w:p>
      <w:r>
        <w:rPr>
          <w:b/>
        </w:rPr>
        <w:t>E. 2</w:t>
      </w:r>
    </w:p>
    <w:p>
      <w:r>
        <w:t>Aux termes des art. 17 al. 1 de l’Accord intercantonal sur les marchés publics du 25 novembre 1994 (AIMP - L 6 05)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Zürich 2010, pp. 311-341, n. 15 p. 317).</w:t>
      </w:r>
    </w:p>
    <w:p>
      <w:r>
        <w:t>La restitution de l’effet suspensif constitue une exception en matière de marchés publics et représente une mesure dont les conditions ne peuvent être admises qu’avec restriction (ATA/383/2012 du 13 juin 2012 consid. 3 ; ATA/76/2012 du 7 février 2012 consid. 2 ; ATA/752/2011 du 8 décembre 2011 ; ATA/614/2011 du 28 septembre 2011 consid. 2 ; ATA/214/2011 du 1er avril 2011, et la jurisprudence citée).</w:t>
      </w:r>
    </w:p>
    <w:p>
      <w:r>
        <w:rPr>
          <w:b/>
        </w:rPr>
        <w:t>E. 3</w:t>
      </w:r>
    </w:p>
    <w:p>
      <w:r>
        <w:t>Par rapport à l'examen prima facie qui prévaut dans le cadre de l'estimation des chances de succès du recours, les principaux griefs développés au fond se rapportent à une prétendue violation du droit d’être entendu liée à l’accès au dossier et d’autre part à l’appréciation du critère « qualifications + expérience » pour les aspects linguistiques.</w:t>
      </w:r>
    </w:p>
    <w:p>
      <w:r>
        <w:t>a. 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w:t>
      </w:r>
    </w:p>
    <w:p>
      <w:r>
        <w:t>- 5/6 - A/3525/2012 l’autorité de recours d’exercer son contrôle (ATF 124 II 146 consid. 2 p. 149 ; 122 IV 8 consid. 2c p. 14 ; ATA/126/2007 du 20 mars 2007 ; ATA/595/2006 du 14 novembre 2006 ; ATA/140/2006 du 14 mars 2006 ; ATA/875/2004 du 9 novembre 2004).</w:t>
      </w:r>
    </w:p>
    <w:p>
      <w:r>
        <w:t>En matière de marchés publics, cette obligation se manifeste par le devoir qu’a l’autorité d’indiquer au soumissionnaire évincé les raisons du rejet de son offre (J.-B. ZUFFEREY/C. MAILLARD/N. MICHEL, Le droit des marchés publics, Fribourg 2002, p. 256). Ce principe est concrétisé par les articles 13 lettre h AIMP et 37 du règlement qui prévoient que les décisions d'adjudication doivent être sommairement motivées.</w:t>
      </w:r>
    </w:p>
    <w:p>
      <w:r>
        <w:t>En l’espèce, la décision litigieuse a été suffisamment motivée au regard des exigences rappelées ci-dessus. De plus, l’autorité a transmis à la recourante une note détaillant les éléments retenus dans l’appréciation des aspects linguistiques.</w:t>
      </w:r>
    </w:p>
    <w:p>
      <w:r>
        <w:t>Les chances d’admission de ce grief apparaissent de ce fait ténues.</w:t>
      </w:r>
    </w:p>
    <w:p>
      <w:r>
        <w:t>b. La recourante conteste également la note qui lui a été attribuée pour ce critère. D'une part, elle mentionne toutefois dans son recours les indications données pour le lot 2, qui ne sont pas identiques à celles indiquées pour le lot 4. D’autre part, les explications de la Ville concernant la note attribuée apparaissent à première vue claires et cohérentes.</w:t>
      </w:r>
    </w:p>
    <w:p>
      <w:r>
        <w:t>Au vu de ce qui précède, force est de constater que les chances de succès du recours sont a priori faibles.</w:t>
      </w:r>
    </w:p>
    <w:p>
      <w:r>
        <w:rPr>
          <w:b/>
        </w:rPr>
        <w:t>E. 4</w:t>
      </w:r>
    </w:p>
    <w:p>
      <w:r>
        <w:t>En outre, l’intérêt public à ce que la Ville puisse disposer des services dont elle a besoin au début de l'année 2013, l’emporte sur l’intérêt privé de la recourante, principalement de nature pécuniaire (ATA/383/2012 du 13 juin 2012).</w:t>
      </w:r>
    </w:p>
    <w:p>
      <w:r>
        <w:t>La restitution de l'effet suspensif sera dès lors refusée (art. 58 RMP, 66 al. 2 LPA et 7 al. 1 du règlement de la chambre administrative du 21 décembre 2010),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- 6/6 - A/3525/2012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de la recourante, à Me Christophe Gal, avocat de Python Sécurité S. à r.l., appelée en cause, ainsi qu'à la Ville de Genève.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