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ATA/852/2003 vom 21. November 2003</w:t>
      </w:r>
    </w:p>
    <w:p>
      <w:r>
        <w:t>GE Cour de justice, 2003-11-21, FR</w:t>
      </w:r>
    </w:p>
    <w:p>
      <w:r>
        <w:rPr>
          <w:b/>
        </w:rPr>
        <w:t xml:space="preserve">Quelle: </w:t>
      </w:r>
      <w:r>
        <w:t>https://mcp.opencaselaw.ch/entscheid/ge_gerichte_ATA_852_2003</w:t>
      </w:r>
    </w:p>
    <w:p>
      <w:r>
        <w:t>FR: GE_GERICHTE ATA/852/2003 du 21 novembre 2003</w:t>
      </w:r>
    </w:p>
    <w:p>
      <w:r>
        <w:t>IT: GE_GERICHTE ATA/852/2003 del 21 novembre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Prima facie, la recevabilité du recours fondé sur la loi fédérale sur le marché intérieur du 6 octobre 1995 (LMI - RS 943.02) doit être admise, par application de l'article 98 a de la loi fédérale sur l'organisation judiciaire du du 16 décembre 1943 (OJF - RS 173.110), malgré le texte de l'article 56 B alinéa 4 litt c de la loi d'organisation judiciaire du 22 novembre 1941 - LOJ -</w:t>
      </w:r>
    </w:p>
    <w:p>
      <w:r>
        <w:t>- 3 -</w:t>
      </w:r>
    </w:p>
    <w:p>
      <w:r>
        <w:t>E 2 05).</w:t>
      </w:r>
    </w:p>
    <w:p>
      <w:r>
        <w:rPr>
          <w:b/>
        </w:rPr>
        <w:t>E. 2</w:t>
      </w:r>
    </w:p>
    <w:p>
      <w:r>
        <w:t>La qualité pour recourir doit être reconnue à l'AA. à teneur de l'article 60 litt b) de la loi sur la procédure administrative du 12 septembre 1985 (LPA - E 5 10).</w:t>
      </w:r>
    </w:p>
    <w:p>
      <w:r>
        <w:rPr>
          <w:b/>
        </w:rPr>
        <w:t>E. 3</w:t>
      </w:r>
    </w:p>
    <w:p>
      <w:r>
        <w:t>Le délai de recours de 10 jours prescrit par l'article 15 alinéa 2 AIMP et l'article 45 RMPC a été respecté. Le délai ordinaire de 30 jours, prescrit par l'article 63 alinéa 1 litt a) LPA, qui serait applicable au recours déposé en application de la LMI, l'est également.</w:t>
      </w:r>
    </w:p>
    <w:p>
      <w:r>
        <w:rPr>
          <w:b/>
        </w:rPr>
        <w:t>E. 4</w:t>
      </w:r>
    </w:p>
    <w:p>
      <w:r>
        <w:t>Le recours, en tant qu'il est fondé sur l'AIMP, n'a pas effet suspensif (art. 17 al. 1 AIMP). Celui-ci peut cependant être accordé aux conditions usuelles de l'article 66 LPA.</w:t>
      </w:r>
    </w:p>
    <w:p>
      <w:r>
        <w:t>Prima facie également, le recours fondé sur la LMI est quant à lui normalement assorti de l'effet suspensif automatique (art. 66 al. 1 LPA).</w:t>
      </w:r>
    </w:p>
    <w:p>
      <w:r>
        <w:rPr>
          <w:b/>
        </w:rPr>
        <w:t>E. 5</w:t>
      </w:r>
    </w:p>
    <w:p>
      <w:r>
        <w:t>Quant aux mesures provisionnelles, elles peuvent être ordonnées pour éviter que le contrat ne soit conclu (Décision M. du président du tribunal administratif du 8 mars 2001) aux conditions de l'article 21 LPA.</w:t>
      </w:r>
    </w:p>
    <w:p>
      <w:r>
        <w:rPr>
          <w:b/>
        </w:rPr>
        <w:t>E. 6</w:t>
      </w:r>
    </w:p>
    <w:p>
      <w:r>
        <w:t>En l'espèce, il sera constaté que les membres de l'AA. ont un intérêt légitime à réclamer un appel d'offres public.</w:t>
      </w:r>
    </w:p>
    <w:p>
      <w:r>
        <w:t>Quant à l'intérêt de l'Etat justifié essentiellement par la nécessité de respecter le planning des travaux, il n'apparaît pas prépondérant par rapport à l'intérêt privé de la recourante d'une part et à l'intérêt public quant au respect de la loi par les pouvoirs adjudicateurs d'autre part.</w:t>
      </w:r>
    </w:p>
    <w:p>
      <w:r>
        <w:t>Aussi, l'effet suspensif sera octroyé.</w:t>
      </w:r>
    </w:p>
    <w:p>
      <w:r>
        <w:rPr>
          <w:b/>
        </w:rPr>
        <w:t>E. 7</w:t>
      </w:r>
    </w:p>
    <w:p>
      <w:r>
        <w:t>Pour les mêmes raisons, il sera fait interdiction au DAEL par mesures provisionnelles de conclure le contrat pour le mandat d'architecte.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