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ATA/851/2021 vom 24. August 2021</w:t>
      </w:r>
    </w:p>
    <w:p>
      <w:r>
        <w:t>GE Cour de justice, 2021-08-24, FR</w:t>
      </w:r>
    </w:p>
    <w:p>
      <w:r>
        <w:rPr>
          <w:b/>
        </w:rPr>
        <w:t xml:space="preserve">Quelle: </w:t>
      </w:r>
      <w:r>
        <w:t>https://mcp.opencaselaw.ch/entscheid/ge_gerichte_ATA_851_2021</w:t>
      </w:r>
    </w:p>
    <w:p>
      <w:r>
        <w:t>FR: GE_GERICHTE ATA/851/2021 du 24 août 2021</w:t>
      </w:r>
    </w:p>
    <w:p>
      <w:r>
        <w:t>IT: GE_GERICHTE ATA/851/2021 del 24 agosto 2021</w:t>
      </w:r>
    </w:p>
    <w:p>
      <w:pPr>
        <w:pStyle w:val="Heading2"/>
      </w:pPr>
      <w:r>
        <w:t>Erwägungen</w:t>
      </w:r>
    </w:p>
    <w:p>
      <w:r>
        <w:rPr>
          <w:b/>
        </w:rPr>
        <w:t>E. 12</w:t>
      </w:r>
    </w:p>
    <w:p>
      <w:r>
        <w:t>décembre 2017 consid. 3a). Le strict respect des délais légaux se justifie pour des raisons d’égalité de traitement et n’est pas constitutif de formalisme excessif (ATF 142 V 152 consid. 4.2 in fine ; ATA/717/2021 du 6 juillet 2021 consid. 2a).</w:t>
      </w:r>
    </w:p>
    <w:p>
      <w:r>
        <w:t>b. Les écrits doivent parvenir à l’autorité ou être remis à son adresse à un bureau de poste suisse ou à une représentation diplomatique ou consulaire suisse au plus tard le dernier jour du délai avant minuit (art. 17 al. 4 LPA).</w:t>
      </w:r>
    </w:p>
    <w:p>
      <w:r>
        <w:t>c. S’agissant d’un acte soumis à réception, telle une décision ou une communication de procédure, la notification est réputée faite au moment où l’envoi entre dans la sphère de pouvoir de son destinataire (Pierre MOOR/ Étienne POLTIER, Droit administratif, vol. 2, 3ème éd., 2011, p. 302-303 n. 2.2.8.3). Il suffit que celui-ci puisse en prendre connaissance (ATF 118 II 42 consid. 3b p. 44 ; 115 Ia 12 consid. 3b p. 17 ; arrêts du Tribunal fédéral 2P.259/2006 du 18 avril 2007 consid. 3.1 ; 2A.54/2000 du 23 juin 2000 consid. 2a et les références citées).</w:t>
      </w:r>
    </w:p>
    <w:p>
      <w:r>
        <w:t>d. Les décisions sont notifiées aux parties, le cas échéant à leur domicile élu auprès de leur mandataire, par écrit (art. 46 al. 2 LPA). Une notification irrégulière ne peut entraîner aucun préjudice pour les parties (art. 47 LPA).</w:t>
      </w:r>
    </w:p>
    <w:p>
      <w:r>
        <w:t>e.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ATF 142 III 599 consid. 2.1).</w:t>
      </w:r>
    </w:p>
    <w:p>
      <w:r>
        <w:t>Selon la jurisprudence, ce type de courrier est réputé notifié dès son dépôt dans la boîte aux lettres ou la case postale de son destinataire, moment qui constitue le point de départ pour le calcul du délai de recours (ATF 142 III 599 consid. 2.4.1 ; arrêt du Tribunal fédéral 2C_1021/2018 du 26 juillet 2019 consid. 4.1 et les références citées). Le Tribunal fédéral a également précisé que ce principe vaut également lorsque la livraison par courrier A+ intervient un samedi et que le pli n'est récupéré qu'à une date ultérieure, comme le lundi suivant (arrêt 8C_124/2019 du 23 avril 2019 consid. 10.2 et les nombreux arrêts cités). Dans le même arrêt, il a souligné qu'il n'y avait pas lieu de revenir en l'état sur cette jurisprudence confirmée à maintes reprises (ibid. consid. 10.2). Dès lors, si l'envoi est distribué un samedi par courrier A+,</w:t>
      </w:r>
    </w:p>
    <w:p>
      <w:r>
        <w:t>- 5/8 - A/1660/2021 le délai de recours commence à courir le dimanche (arrêts du Tribunal fédéral 2C_882/2019 du 31 octobre 2019 consid. 4.1 ; 8C_124/2019 précité consid. 8.2.2). 4)</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ATA/512/2016 du 14 juin 2016 et les références citées). 5) 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(ATA/1174/2020 du 24 novembre 2020 consid. 8).</w:t>
      </w:r>
    </w:p>
    <w:p>
      <w:r>
        <w:t>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ATA/1180/2020 du 24 novembre 2020).</w:t>
      </w:r>
    </w:p>
    <w:p>
      <w:r>
        <w:t>c.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réglé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w:t>
      </w:r>
    </w:p>
    <w:p>
      <w:r>
        <w:t>- 6/8 - A/1660/2021 6)</w:t>
      </w:r>
    </w:p>
    <w:p>
      <w:r>
        <w:t>En l’espèce, la recourante s'est vu notifier la décision attaquée le samedi 10 avril 2021 selon le suivi des envois de la Poste. À cet égard, la Poste a indiqué une remise le samedi dans la sphère de possession de la recourante ; si véritablement leurs rapports contractuels – qui ne sauraient avoir de portée propre dans une procédure administrative – prévoyaient une distribution le lundi, le suivi des envois devrait mentionner ce jour-ci comme date de remise du pli. Il n'est dès lors pas possible de faire une différence, comme le suggère la recourante, entre case postale physique et « virtuelle ». Le Tribunal fédéral, qui retient dans sa jurisprudence que si l'envoi est distribué un samedi par courrier A+, le délai de recours commence à courir le dimanche, est parfaitement conscient que la grande majorité des entreprises suisses ne sont pas actives le week-end. On doit donc considérer que la décision attaquée a été notifiée le samedi 10 avril 2021, et l'on notera que la recourante ne dit pas autre chose dans la section « recevabilité » de son acte de recours, ce qui tend à démontrer que le problème ne vient en l'espèce pas du jour retenu comme dies a quo, mais d'un calcul erroné du délai de recours compte tenu des suspensions pascales.</w:t>
      </w:r>
    </w:p>
    <w:p>
      <w:r>
        <w:t>En effet, le délai de recours n'a pas commencé à courir le dimanche 11 avril 2021, mais le lendemain : comme la recourante l'a correctement calculé et indiqué dans son acte de recours, les suspensions pascales couraient du 28 mars 2021 au 11 avril 2021 inclus. Le délai légal de trente jours (art. 62 al. 1 let. a LPA) pour faire recours, non prolongeable, a ainsi commencé à courir le lundi 12 avril 2021, et a expiré à minuit le mardi 11 mai 2021, qui n'était pas un jour férié ni ne tombait sur une période de suspension des délais.</w:t>
      </w:r>
    </w:p>
    <w:p>
      <w:r>
        <w:t>Partant, le recours, déposé au guichet le 12 mai 2021, est tardif. Comme déjà exposé, le strict respect des délais légaux se justifie pour des raisons d’égalité de traitement et n’est pas constitutif de formalisme excessif.</w:t>
      </w:r>
    </w:p>
    <w:p>
      <w:r>
        <w:t>Par ailleurs, rien dans le dossier ne permet de retenir l'existence d'un cas de force majeure. Le fait que la recourante ait commandé une expertise toxicologique à l'appui de sa contestation et qu'elle ne l'ait reçue que le jour d'échéance du délai légal de recours ne saurait avoir pour effet de prolonger ce dernier, ni être qualifié de cas de force majeure. Des pièces à l'appui du recours peuvent ainsi être déposées jusqu'à la clôture de l'instruction, et diverses institutions procédurales, telles qu'une demande de complètement du recours (art. 65 al. 4 LPA) ou de suspension de la procédure (art. 14 LPA), sont susceptibles d'être invoquées par une partie qui est en attente d'une pièce par hypothèse essentielle à la résolution du litige.</w:t>
      </w:r>
    </w:p>
    <w:p>
      <w:r>
        <w:t>Enfin, le choix d'une autorité de notifier ses décisions par recommandé, courrier A+ ou courrier ordinaire n'a pas trait à l'application d'une norme donnée, et ne revêt donc pas le caractère d'une pratique administrative soumise aux règles jurisprudentielles sur le changement de pratique. On ne décèle en l'espèce pas davantage de violation du principe de la bonne foi ; la recourante ne prétend</w:t>
      </w:r>
    </w:p>
    <w:p>
      <w:r>
        <w:t>- 7/8 - A/1660/2021 notamment pas que l'autorité intimée lui aurait donné une quelconque assurance que ses décisions seraient notifiées par pli recommandé. Qui plus est, la recourante, au vu du contenu de son acte de recours, avait en mains toutes les données lui permettant de calculer correctement le terme du délai de recours.</w:t>
      </w:r>
    </w:p>
    <w:p>
      <w:r>
        <w:t>Le recours sera ainsi déclaré irrecevable. 7)</w:t>
      </w:r>
    </w:p>
    <w:p>
      <w:r>
        <w:t>Vu l'issue du litige, un émolument de CHF 500.- sera mis à la charge de la recourante,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