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ATA/846/2025 vom 5. August 2025</w:t>
      </w:r>
    </w:p>
    <w:p>
      <w:r>
        <w:t>GE Cour de justice, 2025-08-05, FR</w:t>
      </w:r>
    </w:p>
    <w:p>
      <w:r>
        <w:rPr>
          <w:b/>
        </w:rPr>
        <w:t xml:space="preserve">Quelle: </w:t>
      </w:r>
      <w:r>
        <w:t>https://mcp.opencaselaw.ch/entscheid/ge_gerichte_ATA_846_2025</w:t>
      </w:r>
    </w:p>
    <w:p>
      <w:r>
        <w:t>FR: GE_GERICHTE ATA/846/2025 du 5 août 2025</w:t>
      </w:r>
    </w:p>
    <w:p>
      <w:r>
        <w:t>IT: GE_GERICHTE ATA/846/2025 del 5 agosto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(ATA/297/2025 du 25 mars 2025 consid. 2.3 ; ATA/229/2025 du 4 mars 2025 consid. 1 ; ATA/151/2025 du 6 février 2025 consid. 2.1 ; arrêt du Tribunal fédéral 8D_2/2023 du 5 septembre 2023 consid. 3.2), ce qui résulte aussi, implicitement, de l'art. 6 RFPA, dès lors que ce dernier plafonne l'indemnité à CHF 10'000.-. Pour déterminer le montant de l'indemnité, il convient de prendre en compte les différents actes d'instruction, le</w:t>
      </w:r>
    </w:p>
    <w:p>
      <w:r>
        <w:t>- 4/5 - A/3043/2022 nombre d'échanges d'écritures et d'audiences. Quant au montant retenu, il doit intégrer l'importance et la pertinence des écritures produites et de manière générale la complexité de l'affaire (ATA/218/2025 du 4 mars 2025 consid. 2.4 ; ATA/131/2025 du 4 février 2025 consid. 2.4).</w:t>
      </w:r>
    </w:p>
    <w:p>
      <w:r>
        <w:rPr>
          <w:b/>
        </w:rPr>
        <w:t>E. 2.3</w:t>
      </w:r>
    </w:p>
    <w:p>
      <w:r>
        <w:t>En l’espèce, le Tribunal fédéral a fait droit au grief des recourants, annulé l’arrêt et confirmé la décision du département. La commune succombant entièrement, un émolument de CHF 1’500.- sera mis à sa charge et aucune indemnité de procédure ne lui sera allouée (art. 87 al. 1 LPA). L______ et M______, N______ et O______ obtenant gain de cause une indemnité, à laquelle ils ont conclu, de CHF 1'000.-, leur sera allouée solidairement, à la charge de la commune (art. 87 al. 2 LPA). Aucune indemnité ne sera allouée à l’hoirie de feue C______, soit pour elle D______ et E______ et F______ ainsi que G______, H______, I______, J______ et K______ et B______ SA, qui ne se sont pas déterminés. Pour le surplus, le jugement du TAPI qui avait rejeté le recours de la commune et fixé un émolument et une indemnité de procédure, est à nouveau en force à la suite de l’arrêt du Tribunal fédéral qui a annulé l’arrêt de la chambre de céans qui l’annulait.</w:t>
      </w:r>
    </w:p>
    <w:p>
      <w:r>
        <w:rPr>
          <w:b/>
        </w:rPr>
        <w:t>E. 2.4</w:t>
      </w:r>
    </w:p>
    <w:p>
      <w:r>
        <w:t>Conformément à la pratique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(ATA/124/2025 du 28 janvier 2025 consid. 2.1 ; ATA/230/2022 du 1er mars 2022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