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ATA/845/2020 vom 1. September 2020</w:t>
      </w:r>
    </w:p>
    <w:p>
      <w:r>
        <w:t>GE Cour de justice, 2020-09-01, FR</w:t>
      </w:r>
    </w:p>
    <w:p>
      <w:r>
        <w:rPr>
          <w:b/>
        </w:rPr>
        <w:t xml:space="preserve">Quelle: </w:t>
      </w:r>
      <w:r>
        <w:t>https://mcp.opencaselaw.ch/entscheid/ge_gerichte_ATA_845_2020</w:t>
      </w:r>
    </w:p>
    <w:p>
      <w:r>
        <w:t>FR: GE_GERICHTE ATA/845/2020 du 1 septembre 2020</w:t>
      </w:r>
    </w:p>
    <w:p>
      <w:r>
        <w:t>IT: GE_GERICHTE ATA/845/2020 del 1 settembre 2020</w:t>
      </w:r>
    </w:p>
    <w:p>
      <w:pPr>
        <w:pStyle w:val="Heading2"/>
      </w:pPr>
      <w:r>
        <w:t>Erwägungen</w:t>
      </w:r>
    </w:p>
    <w:p>
      <w:r>
        <w:rPr>
          <w:b/>
        </w:rPr>
        <w:t>E. 15</w:t>
      </w:r>
    </w:p>
    <w:p>
      <w:r>
        <w:t>août inclusivement (art. 63 al. 1 let. b LPA). Cette règle ne s’applique toutefois pas dans les procédures soumises aux règles de la loi de procédure fiscale du 4 octobre 2001 (LPFisc - D 3 17 ; art. 63 al. 2 let. e LPA), ce qui est le cas de l'impôt cantonal et communal sur le revenu et la fortune des personnes physiques (art. 1 let. a LPFisc). La loi fédérale sur l’impôt fédéral direct du 14 décembre 1990 (LIFD - RS 642.11) ne prévoit pas non plus de suspension des délais (arrêt du Tribunal fédéral 2C_89/2015 du 23 octobre 2015 consid. 6.3 et la jurisprudence citée). 3) a. Les délais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 ATA/1240/2019 du 13 août 2019).</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ATA/871/2019 du 7 mai 2019 et les références citées). 4)</w:t>
      </w:r>
    </w:p>
    <w:p>
      <w:r>
        <w:t>En l’espèce, les recourants se sont vu notifier dans leur case postale un avis pour retrait au guichet le vendredi 22 mai 2020, selon le suivi des envois de la Poste. Dès lors, en vertu de l'art. 62 al. 4 LPA précité, le jugement attaqué est réputé avoir été notifié le vendredi 29 mai 2020, qui constitue ainsi le dies a quo du délai légal de recours de trente jours.</w:t>
      </w:r>
    </w:p>
    <w:p>
      <w:r>
        <w:t>Dès lors que, comme expliqué ci-dessus, il n'y a pas lieu de tenir compte des suspensions de délais, le délai de recours est arrivé à échéance le lundi 29 juin 2020. Le recours, expédié le lundi 17 août 2020, est ainsi tardif. Il le serait, au demeurant, même si l’on admettait la notification du jugement le 19 juin 2020.</w:t>
      </w:r>
    </w:p>
    <w:p>
      <w:r>
        <w:t>Les recourants n'ont pas invoqué un cas de force majeure au sens de l’art. 16 LPA qui les aurait empêchés de déposer leur acte de recours en temps voulu.</w:t>
      </w:r>
    </w:p>
    <w:p>
      <w:r>
        <w:t>Manifestement tardif, le recours sera ainsi déclaré irrecevable, sans échange d’écritures conformément à l'art. 72 LPA.</w:t>
      </w:r>
    </w:p>
    <w:p>
      <w:r>
        <w:t>- 4/5 - A/2747/2019 5)</w:t>
      </w:r>
    </w:p>
    <w:p>
      <w:r>
        <w:t>Vu l’issue du litige, un émolument de CHF 200.- sera mis à la charge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