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ATA/844/2012 vom 18. Dezember 2012</w:t>
      </w:r>
    </w:p>
    <w:p>
      <w:r>
        <w:t>GE Cour de justice, 2012-12-18, FR</w:t>
      </w:r>
    </w:p>
    <w:p>
      <w:r>
        <w:rPr>
          <w:b/>
        </w:rPr>
        <w:t xml:space="preserve">Quelle: </w:t>
      </w:r>
      <w:r>
        <w:t>https://mcp.opencaselaw.ch/entscheid/ge_gerichte_ATA_844_2012</w:t>
      </w:r>
    </w:p>
    <w:p>
      <w:r>
        <w:t>FR: GE_GERICHTE ATA/844/2012 du 18 décembre 2012</w:t>
      </w:r>
    </w:p>
    <w:p>
      <w:r>
        <w:t>IT: GE_GERICHTE ATA/844/2012 del 18 dicembre 2012</w:t>
      </w:r>
    </w:p>
    <w:p>
      <w:pPr>
        <w:pStyle w:val="Heading2"/>
      </w:pPr>
      <w:r>
        <w:t>Regeste</w:t>
      </w:r>
    </w:p>
    <w:p>
      <w:r>
        <w:t>Résumé: Annulation d'une amende administrative, infligée à un chauffeur de taxi pour cause d'infraction au devoir général de courtoisie et de refus de course injustifié, au motif que la décision n'a pas été soumise au préavis consultatif de la commission de discipline exigé par la loi. Renvoi du dossier à l'autorité intimée pour que ledit préavis soit recueilli.</w:t>
      </w:r>
    </w:p>
    <w:p>
      <w:pPr>
        <w:pStyle w:val="Heading2"/>
      </w:pPr>
      <w:r>
        <w:t>Erwägungen</w:t>
      </w:r>
    </w:p>
    <w:p>
      <w:r>
        <w:rPr>
          <w:b/>
        </w:rPr>
        <w:t>E. 26</w:t>
      </w:r>
    </w:p>
    <w:p>
      <w:r>
        <w:t>septembre 2010 - LOJ - E 2 05 ; art. 62 al. 1 let. a de la loi sur la procédure administrative du 12 septembre 1985 - LPA - E 5 10). 2)</w:t>
      </w:r>
    </w:p>
    <w:p>
      <w:r>
        <w:t>Destinataire de la décision litigieuse, M. D______ dispose en outre de la qualité pour recourir au sens de l’art. 60 al.1 let. b LPA.</w:t>
      </w:r>
    </w:p>
    <w:p>
      <w:r>
        <w:t>- 5/11 - A/836/2011 3)</w:t>
      </w:r>
    </w:p>
    <w:p>
      <w:r>
        <w:t>Selon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 MOOR, Droit administratif, Vol. II, Berne 2002, 2ème éd., p. 674 n. 5.7.1.4). Des conclusions conditionnelles sont en revanche irrecevables (ATA/650/2009 du 8 décembre 2009 consid. 3 ; ATA/307/2000 du 16 mai 2000 consid. 4). Il en va de même des conclusions subsidiaires prises en dehors du délai de recours, pendant le cours de la procédure (ATA/594/2011 du 20 septembre 2011 ; Arrêt du Tribunal fédéral 8C_799/2011 du 20 juin 2012). L’absence de conclusions ne peut être réparée que dans le délai de recours (ATA/391/2010 du 8 juin 2010 consid. 4 ; ATA/153/2010 du 9 mars 2010 consid. 7). Hors ce délai, le fait d’être autorisé à compléter une écriture de recours ne permet pas de suppléer le défaut de conclusions (art. 65 al. 3 LPA ; ATA/309/2010 du 4 mai 2010 consid. 2 ; ATA/156/2010 du 9 mars 2010 consid. 1).</w:t>
      </w:r>
    </w:p>
    <w:p>
      <w:r>
        <w:t>Dans son recours du 21 mars 2011, M. D______ a conclu à l’annulation de la décision du SCom du 18 février 2011, ainsi qu’à l’ouverture d’enquêtes. Le 15 juin 2011, il a complété ses conclusions, en concluant à la condamnation du SCom au paiement d’une indemnité en sa faveur à titre de participation aux honoraires de son avocat. Formulée bien après l’échéance du délai de recours, cette conclusion est irrecevable. 4)</w:t>
      </w:r>
    </w:p>
    <w:p>
      <w:r>
        <w:t>Le recourant allègue un défaut de motivation de la décision querellée.</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w:t>
      </w:r>
    </w:p>
    <w:p>
      <w:r>
        <w:t>- 6/11 - A/836/2011 fédéral 5A_11/2009 du 31 mars 2009 ; 2P.39/2006 du 3 juillet 2006 consid. 3.2). Si la protection prévue par ces lois est insuffisante, ce sont les règles minimales déduites de la Constitution fédérale du 18 avril 1999 (Cst. - RS 101) qui s’appliquent (art. 29 al. 2 Cst. ; Arrêt du Tribunal fédéral 4A_15/2010 du 15 mars 2010 consid. 3.1 ; T. TANQUEREL, Manuel de droit administratif, Genève- Zurich-Bâle 211, p. 509 n. 1526 ; A. AUER/ G. MALINVERNI/ M. HOTTELIER, Droit constitutionnel suisse, Berne 2006, Vol. 2, 2ème éd., p. 603 n. 1315 ss). Quant à l'art. 6 § 1 CEDH, il n'accorde pas, au justiciable, de garanties plus étendues que celles découlant de l'art. 29 al. 2 Cst. (Arrêts du Tribunal fédéral 6B_24/2010 du 20 mai 2010 consid. 1 ; 4P.206/2005 du 11 novembre 2005 consid. 2.1 et arrêts cités).</w:t>
      </w:r>
    </w:p>
    <w:p>
      <w:r>
        <w:t>La jurisprudence du Tribunal fédéral en matière de droits constitutionnels a notamment déduit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ATA/268/2012 du 8 mai 2012).</w:t>
      </w:r>
    </w:p>
    <w:p>
      <w:r>
        <w:t>Bien que sommairement motivée, la décision querellée contient tous les éléments nécessaires à sa compréhension. Elle se réfère notamment au courriel de M. E______ du 19 juillet 2010 concernant les événements du 28 mai 2010, ainsi qu’aux déterminations du recourant du 5 octobre 2010, avant de conclure à la réalisation des infractions reprochées. Le recourant en a parfaitement compris la teneur, puisqu’il conteste, par-devant la chambre de céans, ce constat d’infractions sur lequel s’est fondé le SCom.</w:t>
      </w:r>
    </w:p>
    <w:p>
      <w:r>
        <w:t>Partant, la décision du 18 février 2011 était suffisamment motivée et le droit d’être entendu du recourant n’a pas été violé de ce point de vue. 5)</w:t>
      </w:r>
    </w:p>
    <w:p>
      <w:r>
        <w:t>Dans son recours du 21 mars 2011, comme dans ses déterminations du 15 juin 2011, le recourant a sollicité l’ouverture d’enquêtes.</w:t>
      </w:r>
    </w:p>
    <w:p>
      <w:r>
        <w:t>Tel qu’il est garanti par l’art. 29 al. 2 Cst., le droit d’être entendu comprend également le droit pour l’intéressé d’offrir des preuves pertinentes, de prendre connaissance du dossier, d’obtenir qu’il soit donné suite à ses offres de preuves</w:t>
      </w:r>
    </w:p>
    <w:p>
      <w:r>
        <w:t>- 7/11 - A/836/2011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w:t>
      </w:r>
    </w:p>
    <w:p>
      <w:r>
        <w:t>En l’espèce, le recourant n’a pas réagi au courrier de la chambre de céans du 19 juillet 2012. La question de savoir si son silence doit s’interpréter comme un renoncement à l’ouverture d’enquêtes peut toutefois demeurer indécise, la mesure d’instruction sollicitée dans un premier temps devant, en toute hypothèse, être refusée.</w:t>
      </w:r>
    </w:p>
    <w:p>
      <w:r>
        <w:t>Les parties ont en effet une version totalement opposée des faits de la cause. Durant l’instruction conduite par le SCom, comme pendant la procédure devant la chambre de céans, elles se sont déterminées à plusieurs reprises sur l’altercation du 28 mai 2010 et ont, à chaque occasion, persisté dans leurs positions. Une comparution personnelle des parties ne saurait donc les réconcilier, ni ne pourrait apporter des éléments de preuve autres que ceux figurant déjà au dossier. La décision querellée ne se fonde en outre sur aucun témoignage, le Scom n’ayant vraisemblablement pas pu en recueillir. Aucun témoin ne peut désormais être entendu, ce d’autant que le recourant n’en a cité aucun. Les faits à l’origine du litige remontaient à près de dix mois lorsque le recourant a sollicité l’ouverture d’enquêtes. Des témoignages, eussent-ils été disponibles, auraient en outre manqué de force probante.</w:t>
      </w:r>
    </w:p>
    <w:p>
      <w:r>
        <w:t>La chambre de céans statuera donc sur la base du dossier, tel que constitué par le SCom et les écritures des parties, l’ouverture d’enquêtes n’étant pas de nature à compléter utilement l’instruction de la cause. 6)</w:t>
      </w:r>
    </w:p>
    <w:p>
      <w:r>
        <w:t>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w:t>
      </w:r>
    </w:p>
    <w:p>
      <w:r>
        <w:t>a. L’art. 34 LTaxis énumère les obligations des chauffeurs. L’al. 1 de cette disposition prévoit que les chauffeurs sont tenus par un devoir général de courtoisie tant à l’égard de leurs clients, du public, de leurs collègues que des autorités. Ils doivent avoir une conduite et une tenue correcte. L’obligation est reprise à l’art. 45 RTaxis, dont l’al. 2 précise que les chauffeurs doivent être particulièrement courtois et prévenants avec leurs clients.</w:t>
      </w:r>
    </w:p>
    <w:p>
      <w:r>
        <w:t>- 8/11 - A/836/2011</w:t>
      </w:r>
    </w:p>
    <w:p>
      <w:r>
        <w:t>b. L’art. 39 al. 1 LTaxis prévoit que les taxis de service public doivent accepter toutes les courses, quel que soit le lieu de prise en charge ou de destination du canton (cf. également l’art. 47 al. 1 RTaxis). Cette obligation est précisée à l’art. 23 RTaxis pour les courses partant de l’AIG. L’accès, qui est prévu au niveau « Arrivées » de l’aéroport, est réservé aux seuls taxis de service public (al. 1). Les chauffeurs qui accèdent à la station au niveau « Arrivées » s’engagent à accepter le paiement de la course soit par carte de crédit, soit en euros ou en dollars américains, et à se rendre à toute destination dans un rayon de 50 km (art. 23 al. 2 RTaxis). 7)</w:t>
      </w:r>
    </w:p>
    <w:p>
      <w:r>
        <w:t>Selon l’art. 45 al. 1 LTaxis, le département des affaires régionales, de l’économie et de la santé (soit pour lui le SCom à teneur de l’art. 1 al. 1 et 2 RTaxis) peut infliger une amende administrative de CHF 100.- à CHF 20'000.- à toute personne ayant enfreint les prescriptions de la loi ou de ses dispositions d’exécution.</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(ATA/757/2011 du 13 décembre 2011 ; ATA/788/2010 du 16 novembre 2010 ; ATA/571/2010 du 31 août 2010 ; P. MOOR/E. POLTIER, Droit administratif : les actes administratifs et leur contrôle, Vol. 2, 2011, ch. 1.4.5.5, p. 160 s).</w:t>
      </w:r>
    </w:p>
    <w:p>
      <w:r>
        <w:t>b.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w:t>
      </w:r>
    </w:p>
    <w:p>
      <w:r>
        <w:t>c. Il est ainsi nécessaire que le contrevenant ait commis une faute, fût-ce sous la forme d’une simple négligence (HÄFELIN/MÜLLER/UHLMANN, Allgemeines Verwaltungsrecht, 6ème éd., 2006, p. 252, n. 1179). Selon la jurisprudence constante, l’administration doit faire preuve de sévérité afin d’assurer le respect de la loi et jouit d’un large pouvoir d’appréciation pour infliger une amende (ATA/757/2011 du 13 décembre 2011 ; ATA/14/2011 du 11 janvier 2011 ; ATA/788/2010 du 16 novembre 2010 ; ATA/571/2010 du</w:t>
      </w:r>
    </w:p>
    <w:p>
      <w:r>
        <w:rPr>
          <w:b/>
        </w:rPr>
        <w:t>E. 31</w:t>
      </w:r>
    </w:p>
    <w:p>
      <w:r>
        <w:t>août 2010). La juridiction de céans ne la censure qu’en cas d’excès (ATA/160/2009 du 31 mars 2009). Enfin, l’amende doit respecter le principe de la proportionnalité (art. 36 al. 3 Cst. ; ATA/533/2010 du 4 août 2010 ; ATA/201/2010 du 23 mars 2010).</w:t>
      </w:r>
    </w:p>
    <w:p>
      <w:r>
        <w:t>- 9/11 - A/836/2011 8)</w:t>
      </w:r>
    </w:p>
    <w:p>
      <w:r>
        <w:t>Ne disposant d’aucun témoin, le SCom s’est fondé sur les déclarations de M. E______ pour en conclure à la réalisation, par M. D______, d’infractions au devoir général de courtoisie (art. 34 al. 1 LTaxis), respectivement d’un refus de course au départ de l’AIG (art. 23 al. 2 et 47 RTaxis).</w:t>
      </w:r>
    </w:p>
    <w:p>
      <w:r>
        <w:t>Tels que M. E______ les a rapportés, les faits du 28 mai 2010 sont constitutifs d’infractions aux dispositions précitées. Le SCom pouvait considérer les déclarations de ce client comme crédibles, en dépit des dénégations du recourant. Le plaignant a livré une version détaillée des événements, sans varier dans ses déclarations. A l’inverse, les motifs avancés par le recourant dans son courrier du 4 octobre 2010 pour justifier son refus de course n’emportent pas la conviction. Il n’est pas établi que M. E______ aurait été accompagné d’un enfant, dès lors qu’il rentrait de voyage d’affaires, ou qu’il aurait insulté le recourant en présence de ce même enfant. De telles explications sont d’autant moins crédibles qu’elles sont fournies par un chauffeur qui n’en est pas à sa première altercation avec des clients, comme l’attestent les différentes causes dont la chambre de céans a eu à connaître (ATA/757/2011 du 13 décembre 2011 et ATA/656/2010 du 21 septembre 2010 même si les différentes amendes infligées par le SCom ont été annulées pour des motifs procéduraux). Elles ne sont pas de nature à faire naître un doute suffisant quant au fait que M. D______ a commis les infractions qui lui ont été reprochées. 9)</w:t>
      </w:r>
    </w:p>
    <w:p>
      <w:r>
        <w:t>L’amende administrative infligée est néanmoins entachée d’un vice procédural, comme la chambre de céans l’a déjà jugé (ATA/757/2011 précité).</w:t>
      </w:r>
    </w:p>
    <w:p>
      <w:r>
        <w:t>a. Selon l’art. 48 al. 1 LTaxis, une commission de discipline, formée des représentants des milieux professionnels, des organes de police et de l’office cantonal des automobiles et de la navigation (ci-après : OCAN), est appelée à donner son préavis sur les mesures et sanctions administratives prononcées par le département. Ses préavis ont valeur consultative et ne lient pas ce dernier.</w:t>
      </w:r>
    </w:p>
    <w:p>
      <w:r>
        <w:t>b. A teneur de l’art. 74 RTaxis, cette commission siège à quatre membres, par rotation éventuelle entre eux. Elle est présidée par un représentant du SCom qui invite un membre de la police et un membre de l’OCAN à participer aux séances (al. 1). Ces dernières sont convoquées par le SCom, autant de fois qu’il le juge nécessaire, selon les dossiers en cours (al. 2). Pour les infractions impliquant des amendes en application de l’art. 45 de la loi, le préavis de la commission peut être donné au service par la seule approbation d’un barème (al. 3).</w:t>
      </w:r>
    </w:p>
    <w:p>
      <w:r>
        <w:t>c. En deux occasions déjà (ATA/223/2012 du 17 avril 2012 ; ATA/757/2011 du 13 décembre 2011 concernant le même recourant), la chambre de céans a mis en doute la légalité de l’art. 74 al. 3 RTaxis.</w:t>
      </w:r>
    </w:p>
    <w:p>
      <w:r>
        <w:t>La question de savoir si cette disposition réglementaire dispose d’une base légale suffisante sera une fois encore laissée ouverte pour la raison suivante. Selon</w:t>
      </w:r>
    </w:p>
    <w:p>
      <w:r>
        <w:t>- 10/11 - A/836/2011 le texte clair de l’art. 74 al. 3 RTaxi, l’approbation par la commission de discipline du barème ne peut dispenser cette dernière d’émettre un préavis que « pour les infractions impliquant des amendes ». Or, tel n’est pas le cas de l’une des infractions reprochées au recourant, le refus de course étant, selon ledit barème, passible d’une amende et d’une suspension de la carte professionnelle de trente jours. Bien que cette mesure n’ait, en l’espèce, pas été prononcée contre le recourant, cela suffit à démontrer que cette infraction est considérée comme grave. Le SCom devait ainsi convoquer la commission de discipline et requérir son préavis, le barème édicté ne se limitant pas à prévoir des amendes pour les infractions reprochées et l’art. 48 al. 1 LTaxis ne prévoyant pas d’exception à la règle de consultation de cette autorité.</w:t>
      </w:r>
    </w:p>
    <w:p>
      <w:r>
        <w:t>Conformément à la jurisprudence (ATA/223/2012 et ATA/757/2011 précités), l’absence de préavis, dans un tel cas, entraîne l’invalidation de la décision (P. MOOR/E. POLTIER, op. cit., ch. 2.2.5.4, p. 279 et les références citées). 10) En conséquence, le recours sera partiellement admis et le dossier sera retourné au SCom, afin qu’il requiert le préavis de la commission de discipline, puis, cas échéant, qu’il statue à nouveau. 11) Malgré l’issue du litige, aucun émolument ne sera perçu (art. 87 al.1 LPA). Aucune indemnité de procédure ne sera allouée au recourant, sa conclusion en la matière étant irrecevable.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