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ATA/842/2023 vom 9. August 2023</w:t>
      </w:r>
    </w:p>
    <w:p>
      <w:r>
        <w:t>GE Cour de justice, 2023-08-09, FR</w:t>
      </w:r>
    </w:p>
    <w:p>
      <w:r>
        <w:rPr>
          <w:b/>
        </w:rPr>
        <w:t xml:space="preserve">Quelle: </w:t>
      </w:r>
      <w:r>
        <w:t>https://mcp.opencaselaw.ch/entscheid/ge_gerichte_ATA_842_2023</w:t>
      </w:r>
    </w:p>
    <w:p>
      <w:r>
        <w:t>FR: GE_GERICHTE ATA/842/2023 du 9 août 2023</w:t>
      </w:r>
    </w:p>
    <w:p>
      <w:r>
        <w:t>IT: GE_GERICHTE ATA/842/2023 del 9 agosto 2023</w:t>
      </w:r>
    </w:p>
    <w:p>
      <w:pPr>
        <w:pStyle w:val="Heading2"/>
      </w:pPr>
      <w:r>
        <w:t>Regeste</w:t>
      </w:r>
    </w:p>
    <w:p>
      <w:r>
        <w:t>Résumé: Confirmation du jugement du TAPI déclarant irrecevable le recours des recourants contre une autorisation de démolir un bâtiment voisin. En accord avec la jurisprudence du Tribunal fédéral, les voisins n'ont pas d'intérêt de fait ou de droit pour exiger qu'un propriétaire conserve un bâtiment sur sa parcelle. Contrairement à ce que soutiennent les recourants, la valeur patrimoniale particulière du bâtiment n'est pas reconnue par les autorités compétentes et le dépôt d'une demande de mise à l'inventaire n'y change rien.</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LPA - E 5 10). 2. Les intimés requièrent la substitution des parties suite au changement de propriétaire de la parcelle litigieuse. Les recourants ne s'y sont pas opposés. 2.1 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(ATA/974/2022 du 27 septembre 2022 consid. 3a ; ATA/634/2014 du 19 août 2014 consid. 2 ; Stéphane GRODECKI/Romain JORDAN, Code annoté de procédure administrative genevoise, 2017, n. 148 ad art. 8 LPA). 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w:t>
      </w:r>
    </w:p>
    <w:p>
      <w:r>
        <w:t>- 8/15 - A/2080/2022 comme une aliénation du bien litigieux, n’entraîne en principe pas la substitution automatique des parties à la procédure. La substitution n’est que facultative et ne s’opère pas de plein droit si l’ayant droit ne la requiert pas ou n’obtient pas l’accord des autres parties (Benoît BOVAY, Procédure administrative, 2ème éd., 2015, p.182 s). Cela étant, il doit être possible de suppléer au refus d’une substitution par l’intervention ou l’appel en cause de l’acquéreur ou du cessionnaire des droits (ibidem, p. 184). 2.2 En l'espèce, suite à la vente de la parcelle, par devant le notaire, et l'inscription au registre foncier le 14 avril 2023, la propriété de la parcelle n° 6'510 a été transférée des époux P______ et Q______ à la société M______. Les intimés ont en conséquence sollicité la substitution de parties le 15 mai 2023. Les recourants s'en sont remis à justice sur ce point le 23 mai 2023. L'ayant droit ayant requis la substitution et les autres parties à la procédure, soit en particulier les recourants, n'ayant pas manifesté de désaccord, il sera procédé à la substitution des époux P______ et Q______ par la société M______. Cette dernière n’a pas demandé à pouvoir produire des écritures complémentaires, et a indiqué le 12 mai 2023 « reprendr[e] le rôle des époux P______ et Q______ ». Il n’y a donc aucune raison de lui impartir un délai supplémentaire de 30 jours, comme requis par les recourants, pour faire valoir un point de vue dont il est patent qu’il ne saurait être en contradiction avec celui soutenu jusque-là par les anciens propriétaires de la parcelle, lesquels ont pu présenter toutes écritures utiles devant le TAPI, puis la chambre de céans. 3. Les recourants sollicitent préalablement la suspension de la procédure « jusqu'à droit connu quant au bien-fondé du projet de construction de la société M______ ». 3.1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3.2 En l'espèce, la présente procédure concerne uniquement l'autorisation de démolir la maison d'habitation, la piscine et le pool house présents sur la parcelle litigieuse. Comme il sera vu ci-dessous, le sort de l’autorisation de démolir peut être dissocié de celui de l’autorisation de construire. Il n’y a donc aucune justification à attendre par hypothèse un jugement du TAPI, pour autant qu’un</w:t>
      </w:r>
    </w:p>
    <w:p>
      <w:r>
        <w:t>- 9/15 - A/2080/2022 recours ait été déposé contre l’autorisation de construire, ce que ne précisent pas les recourants, mais pourrait implicitement ressortir du document de M______ du 12 mai 2023 faisant mention d’une cause A/1107/2023. La présente cause est en état d’être tranchée. La demande de suspension sera donc rejetée. 4. Les recourants sollicitent diverses mesures d'instruction, soit l'apport des informations obtenues lors du recensement du bâtiment litigieux, la visite du bâtiment par les historiens de l'art et autres spécialistes, un préavis de la CMNS, un transport sur place ainsi que la comparution de deux d’entre eux. 4.1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 4.2 En l'espèce, la chambre de céans dispose d'un dossier complet, comprenant notamment les écritures des parties et toutes les pièces produites à leur appui. Les recourants ne soutiennent pas que l'apport des informations concernant le recensement, l'accès donné aux historiens de l'art et autres spécialistes à la propriété de l'intimée ainsi que le préavis de la CMNS apporteraient des éléments pertinents qui ne résulteraient pas déjà des documents versés à la procédure. En outre, les nombreuses photos, plans détaillés et prises de vue figurant au dossier, en particulier du bâtiment litigieux et des maisons avoisinantes, complétés en tant que de besoin par la consultation du Système d'information du territoire à Genève (ci-après : SITG), permettent de se rendre compte de la situation de fait, de sorte qu'un transport sur place n'est pas utile. La comparution de deux des recourants n’apparaît pas nécessaire ni pertinente pour étayer les caractéristiques du quartier, ressortant déjà du dossier et du SITG, ou de potentielles futures nuisances sonores et visuelles, notamment par la fréquentation des lieux par des jeunes, suite à la destruction du bâtiment. Il s'agit de pures conjectures. Dans ces circonstances, il ne sera pas donné suite aux diverses demandes d'actes d'instruction.</w:t>
      </w:r>
    </w:p>
    <w:p>
      <w:r>
        <w:t>- 10/15 - A/2080/2022 Pour les mêmes motifs, ainsi que pour ceux développés ci-après sur la qualité pour recourir, le TAPI n'a pas violé le droit d'être entendus des recourants en renonçant implicitement à procéder à un transport sur place.</w:t>
      </w:r>
    </w:p>
    <w:p>
      <w:r>
        <w:rPr>
          <w:b/>
        </w:rPr>
        <w:t>E. 5</w:t>
      </w:r>
    </w:p>
    <w:p>
      <w:r>
        <w:t>Le litige porte sur le bien-fondé du jugement du TAPI déniant aux recourants la qualité pour recourir contre une autorisation de démolir.</w:t>
      </w:r>
    </w:p>
    <w:p>
      <w:r>
        <w:rPr>
          <w:b/>
        </w:rPr>
        <w:t>E. 5.1</w:t>
      </w:r>
    </w:p>
    <w:p>
      <w:r>
        <w:t>Toute personne qui est touchée directement par une décision et a un intérêt personnel digne de protection à ce que l'acte soit annulé ou modifié, a la qualité pour recourir en vertu de l'art. 60 al. 1 let. b LPA.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5.2</w:t>
      </w:r>
    </w:p>
    <w:p>
      <w:r>
        <w:t>En matière de droit des constructions, le voisin direct de la construction ou de l'installation litigieuse a en principe la qualité pour recourir (ATF 139 II 499 consid. 2.2 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arrêt 1C_27/2018 du 6 avril 2018 consid. 1.1). En bref, le voisin est admis à recourir lorsqu'il est atteint de manière certaine ou du moins avec une probabilité suffisante par la gêne que la décision peut occasionner (ATF 140 II 214 consid. 2.3 p. 219). Il doit retirer un</w:t>
      </w:r>
    </w:p>
    <w:p>
      <w:r>
        <w:t>- 11/15 - A/2080/2022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Une atteinte particulière est reconnue lorsqu'il faut notamment s'attendre avec certitude ou avec une grande vraisemblance à des immissions sur le fonds voisin en provenance de l'installation (ATF 136 II 281 consid. 2.3.1 ; arrêt du Tribunal fédéral 1C_654/2017 du 3 octobre 2018 consid. 2.2 et les références citées).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5.3</w:t>
      </w:r>
    </w:p>
    <w:p>
      <w:r>
        <w:t>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w:t>
      </w:r>
    </w:p>
    <w:p>
      <w:r>
        <w:t>- 12/15 - A/2080/2022</w:t>
      </w:r>
    </w:p>
    <w:p>
      <w:r>
        <w:rPr>
          <w:b/>
        </w:rPr>
        <w:t>E. 5.4</w:t>
      </w:r>
    </w:p>
    <w:p>
      <w:r>
        <w:t>En l'espèce, les recourants invoquent les nuisances durables que la démolition provoquerait, à savoir la confrontation quotidienne à un paysage « disgracieux » en raison du « maintien d'un terrain en friche ainsi que de trous béants » pendant une période indéterminée, ainsi que des rassemblements nocturnes indésirables et source d’un sentiment d'insécurité, tel que cela avait été le cas des années auparavant. Ils invoquent également des nuisances sonores et visuelles provenant de la route T______, route très fréquentée, le bâtiment constituant « de facto » une protection efficace contre ces immissions et la vue directe sur la route. Outre le fait que l’on discerne mal sur quelle base légale des voisins pourraient exiger qu’un propriétaire conserve un bâtiment sur sa parcelle, en l’espèce, l’absence de construction à l’avenir sur celle en cause est désormais théorique, puisqu’une autorisation de construire a été délivrée le 20 février 2023. Les recourants ne seront dès lors pas confrontés aux nuisances alléguées au-delà de la durée de l’éventuelle procédure de recours contre cette seconde autorisation. Dès lors, un avantage pratique à l'annulation de l'autorisation ne peut être retenue pour cette raison. Les recourants invoquent également la valeur patrimoniale de l'immeuble amené à disparaître, avis partagé par le S______ et de nombreux habitants de la commune. Le bâtiment litigieux était à l'origine de la série de villas bâties par la suite et participait à son harmonie. V______, historien de l'art indépendant et participant à la révision du recensement architectural du canton de Genève, avait réalisé un dossier historique en février 2023 et recommandé que le bâtiment bénéficie de mesures de protection. Toutefois, comme l'a exposé le TAPI et ce que le dossier ne contredit pas, le bâtiment en cause ne fait l'objet d'aucune mesure de protection. Aucune mise sous protection n'est en cours, ce que le SMS a encore récemment confirmé, par courriel du 30 mars 2023. Dans ce même courriel, le SMS a précisé que le bâtiment était recensé en valeur « intérêt secondaire ». Si cette valeur était maintenue dans le recensement en cours de validation, l'autorité administrative ne serait pas concernée en cas de travaux. Par ailleurs, avant de rendre son préavis au département, la commune a pris le soin de contacter tant le SMS que l'IMAH afin de déterminer si une protection du bâtiment était envisageable. Elle a, dans son courrier du 18 mars 2022 adressé aux recourants, cité la réponse reçue du directeur de l'IMAH en ces termes : « ... nous avons examiné la villa située Route T______ 197 à W______. Ce bâtiment a été construit en 1962 par l'architecte X______. Il a cependant été profondément transformé en 1981 par Y______ (DD 3______), qui a notamment complètement remanié la façade nord. La substance d'origine a été perdue. En conséquence, nous n'envisageons pas l'adoption d'une mesure de protection ». Les recourants se contentent ainsi de suppléer leur propre appréciation à celle de l'autorité compétente et concluent sans aucun fondement que « le SMS, de même que la CMNS, traitent chaque mois d'innombrables</w:t>
      </w:r>
    </w:p>
    <w:p>
      <w:r>
        <w:t>- 13/15 - A/2080/2022 dossiers, en sorte qu'il est constant qu'ils ne sont pas en mesure d'étudier chaque dossier en détail ». Enfin, le recensement n'a pas de valeur légale et n'implique pas l'adoption automatique de mesures de protection, qui doivent faire l'objet d'une mise à l'inventaire (art. 7 ss LPMNS) ou d'une procédure de classement (art. 10 ss LPMNS), ce qui n’est pas le cas de la villa en cause. Au vu de ce qui précède, force est de constater que la valeur patrimoniale du bâtiment litigieux ne peut être retenue en l'état. Le dépôt tout récent d’une demande de mise à l’inventaire de la villa n’y change rien. C'est donc à bon droit que le TAPI, conformément à la jurisprudence rappelée ci-dessus, a dénié aux voisins de la parcelle en cause la qualité pour recourir. Enfin, quant à la perte de valeur de leurs propriétés, outre le fait que les recourants l'allèguent, sans la rendre vraisemblable, un tel argument ressortit au droit privé et est exorbitant au litige (ATA/197/2022 du 22 février 2022 consid. 4c et la référence citée).</w:t>
      </w:r>
    </w:p>
    <w:p>
      <w:r>
        <w:rPr>
          <w:b/>
        </w:rPr>
        <w:t>E. 6</w:t>
      </w:r>
    </w:p>
    <w:p>
      <w:r>
        <w:t>Vu l'issue du litige, un émolument de CHF 2'000.- sera mis à la charge solidaire des recourants (art. 85 al. 1 LPA). Une indemnité de procédure de CHF 2'000.- sera allouée à M______, à la charge conjointe et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