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ATA/841/2014 vom 28. Oktober 2014</w:t>
      </w:r>
    </w:p>
    <w:p>
      <w:r>
        <w:t>GE Cour de justice, 2014-10-28, FR</w:t>
      </w:r>
    </w:p>
    <w:p>
      <w:r>
        <w:rPr>
          <w:b/>
        </w:rPr>
        <w:t xml:space="preserve">Quelle: </w:t>
      </w:r>
      <w:r>
        <w:t>https://mcp.opencaselaw.ch/entscheid/ge_gerichte_ATA_841_2014</w:t>
      </w:r>
    </w:p>
    <w:p>
      <w:r>
        <w:t>FR: GE_GERICHTE ATA/841/2014 du 28 octobre 2014</w:t>
      </w:r>
    </w:p>
    <w:p>
      <w:r>
        <w:t>IT: GE_GERICHTE ATA/841/2014 del 28 ottobre 2014</w:t>
      </w:r>
    </w:p>
    <w:p>
      <w:pPr>
        <w:pStyle w:val="Heading2"/>
      </w:pPr>
      <w:r>
        <w:t>Erwägungen</w:t>
      </w:r>
    </w:p>
    <w:p>
      <w:r>
        <w:rPr>
          <w:b/>
        </w:rPr>
        <w:t>E. 12</w:t>
      </w:r>
    </w:p>
    <w:p>
      <w:r>
        <w:t>septembre 1985 - LPA - E 5 10).</w:t>
      </w:r>
    </w:p>
    <w:p>
      <w:r>
        <w:t>- 5/8 - A/1405/2014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 En l'espèce, le recourant a déjà exécuté entièrement la sanction contestée. Toutefois, il convient de renoncer à l'exigence de l'intérêt actuel. En effet, la légalité d'un placement en cellule forte doit pouvoir faire l’objet d’un contrôle en vertu de la jurisprudence du Tribunal fédéral précitée, nonobstant l’éventuelle absence d’intérêt actuel, dans la mesure où cette situation pourrait encore se présenter (ATA/591/2014 du 29 juillet 2014 consid. 2 ; ATA/183/2013 du 19 mars 2013 et la jurisprudence citée).</w:t>
      </w:r>
    </w:p>
    <w:p>
      <w:r>
        <w:t>- 6/8 - A/1405/2014</w:t>
      </w:r>
    </w:p>
    <w:p>
      <w:r>
        <w:t>Le recours est donc recevable à tous points de vue.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les art. 47 al. 3 let. f et 47 al. 5 aRRIP dans leur teneur en vigueur jusqu’au 30 juillet 2014, le directeur de la prison était compétent pour prononcer, notamment, le placement en cellule forte jusqu’à cinq jours. Le directeur général</w:t>
      </w:r>
    </w:p>
    <w:p>
      <w:r>
        <w:t>- 7/8 - A/1405/2014 de l’office cantonal de la détention pouvait ordonner, sur proposition du directeur, le placement en cellule forte pour dix jours au plus. 5)</w:t>
      </w:r>
    </w:p>
    <w:p>
      <w:r>
        <w:t>En l’espèce, le recourant a reconnu les faits, à savoir tant le comportement inadéquat lors de la promenade en tentant d’escalader le grillage, que les insultes, à plusieurs reprises, du personnel de détention et la destruction du matériel médical. Par son comportement il a violé le RRIP, à plusieurs reprises, le même jour. Il n’a pas su se maîtriser, notamment en détruisant le matériel médical. La réponse qu’il a impulsivement donnée aux insultes dont il était victime, n’est pas adéquate et ne peut pas être cautionnée.</w:t>
      </w:r>
    </w:p>
    <w:p>
      <w:r>
        <w:t>Dans ces conditions, la sanction décidée par la direction de l’OCD est fondée et proportionnée. 6)</w:t>
      </w:r>
    </w:p>
    <w:p>
      <w:r>
        <w:t>Par conséquent, le recours sera rejeté et la décision attaquée confirmée.</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