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ATA/840/2018 vom 21. August 2018</w:t>
      </w:r>
    </w:p>
    <w:p>
      <w:r>
        <w:t>GE Cour de justice, 2018-08-21, FR</w:t>
      </w:r>
    </w:p>
    <w:p>
      <w:r>
        <w:rPr>
          <w:b/>
        </w:rPr>
        <w:t xml:space="preserve">Quelle: </w:t>
      </w:r>
      <w:r>
        <w:t>https://mcp.opencaselaw.ch/entscheid/ge_gerichte_ATA_840_2018</w:t>
      </w:r>
    </w:p>
    <w:p>
      <w:r>
        <w:t>FR: GE_GERICHTE ATA/840/2018 du 21 août 2018</w:t>
      </w:r>
    </w:p>
    <w:p>
      <w:r>
        <w:t>IT: GE_GERICHTE ATA/840/2018 del 21 agosto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8 al. 1 de la loi fédérale sur les armes, les accessoires d’armes et les munitions du 20 juin 1997 (RS 514.54 - LArm), toute personne qui acquiert une arme ou un élément essentiel d’arme doit être titulaire d’un permis d’acquisition d’armes (ci-après : le permis).</w:t>
      </w:r>
    </w:p>
    <w:p>
      <w:r>
        <w:t>Ce permis est délivré par l’autorité compétente du canton de domicile (art. 9 LArm). Il est valable dans toute la Suisse et ne donne droit à l’acquisition que d’une arme ou un élément d’arme (art. 9b al. 1 LArm).</w:t>
      </w:r>
    </w:p>
    <w:p>
      <w:r>
        <w:t>Toutefois, le Conseil fédéral peut prévoir des exceptions en cas de remplacement d’éléments essentiels d’une arme légalement acquise, d’acquisition de plusieurs armes ou éléments essentiels d’armes auprès de la même personne ou d’acquisition par dévolution successorale (art. 9b al. 2 LArm).</w:t>
      </w:r>
    </w:p>
    <w:p>
      <w:r>
        <w:t>b. En application de la LArm, le Conseil fédéral a édicté l’OArm, dont l’art. 15 prévoit que quiconque veut obtenir un permis d’acquisition d’armes ou d’éléments essentiels d’armes doit remplir le formulaire prévu à cet effet. Toute arme ou tout élément essentiel d’arme doit y être désigné par l’indication du type d’arme (al. 1), les documents nécessaires et la procédure étant précisé aux al. 2 et 3 de cette disposition.</w:t>
      </w:r>
    </w:p>
    <w:p>
      <w:r>
        <w:t>L’art. 16 al. 1 OArm, intitulé « acquisition exceptionnelle de plusieurs armes ou de plusieurs éléments essentiels d’armes au moyen d’un permis d’acquisition d’armes », a la teneur suivante :</w:t>
      </w:r>
    </w:p>
    <w:p>
      <w:r>
        <w:t>« L’autorité cantonale compétente peut délivrer un permis donnant droit à l’acquisition de trois armes ou éléments essentiels d’armes au plus, si ceux-ci sont acquis simultanément et auprès du même aliénateur ».</w:t>
      </w:r>
    </w:p>
    <w:p>
      <w:r>
        <w:rPr>
          <w:b/>
        </w:rPr>
        <w:t>E. 3</w:t>
      </w:r>
    </w:p>
    <w:p>
      <w:r>
        <w:t>a. À Genève, le Conseil d’État a édicté le Règlement d’application de la loi fédérale sur les armes, les accessoires d’armes et les munitions du 21 décembre 1998 (I 2 18.2 - RaLArm).</w:t>
      </w:r>
    </w:p>
    <w:p>
      <w:r>
        <w:t>La police cantonale est l’autorité désignée pour statuer en matière de permis d’acquisition d’armes, d’éléments essentiels d’armes, de munitions et d’éléments de munitions (art. 3 al. 2 let. a RaLArm), étant précisé que le commandant de la police est autorisé à déléguer tout ou partie de ses compétences à l’un de ses subordonnés (art. 4 RaLArm).</w:t>
      </w:r>
    </w:p>
    <w:p>
      <w:r>
        <w:t>- 5/8 - A/5092/2017</w:t>
      </w:r>
    </w:p>
    <w:p>
      <w:r>
        <w:t>Les décisions prises par la police cantonale peuvent faire l’objet d’un recours auprès du département, puis contre les décisions de ce dernier à la chambre administrative (art. 5 RaLArm).</w:t>
      </w:r>
    </w:p>
    <w:p>
      <w:r>
        <w:t>b. Dans un courrier adressé le 18 janvier 2012 aux armuriers genevois et au milieu intéressé, le SAEA a informé que, dès le 1er février 2012, les demandes d’acquisition d’armes à feu ne pourraient permettre que l’acquisition d’une seule arme ou d’un seul élément essentiel d’armes.</w:t>
      </w:r>
    </w:p>
    <w:p>
      <w:r>
        <w:t>Copie de cette note a été adressée à l’office central des armes de la Confédération.</w:t>
      </w:r>
    </w:p>
    <w:p>
      <w:r>
        <w:t>c. Le 22 février 2012, le SAEA a préparé – mais pas envoyé – une note aux armuriers, aux termes de laquelle, en règle générale, les demandes de permis qu’ils déposaient pouvaient comporter trois armes.</w:t>
      </w:r>
    </w:p>
    <w:p>
      <w:r>
        <w:t>Cette note est appliquée depuis, selon l’indication manuscrite figurant au dossier de la présente cause.</w:t>
      </w:r>
    </w:p>
    <w:p>
      <w:r>
        <w:t>d. À la suite de diverses interventions d’associations insatisfaites de la pratique mise en place à Genève, le directeur de l’office fédéral de la police a répondu à l’une d’elles, le 29 février 2012. La pratique genevoise n’était pas contraire à la législation fédérale.</w:t>
      </w:r>
    </w:p>
    <w:p>
      <w:r>
        <w:rPr>
          <w:b/>
        </w:rPr>
        <w:t>E. 4</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l’autorité administrative s’est laissée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(ATA/514/2018 du 29 mai 2018 et les références citées).</w:t>
      </w:r>
    </w:p>
    <w:p>
      <w:r>
        <w:rPr>
          <w:b/>
        </w:rPr>
        <w:t>E. 5</w:t>
      </w:r>
    </w:p>
    <w:p>
      <w:r>
        <w:t>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w:t>
      </w:r>
    </w:p>
    <w:p>
      <w:r>
        <w:t>- 6/8 - A/5092/2017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ATA/87/2018 du 30 janvier 2018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(ATA/87/2018 précité et les références citées).</w:t>
      </w:r>
    </w:p>
    <w:p>
      <w:r>
        <w:rPr>
          <w:b/>
        </w:rPr>
        <w:t>E. 6</w:t>
      </w:r>
    </w:p>
    <w:p>
      <w:r>
        <w:t>Il ressort des principes rappelés ci-dessus que la règle de base est qu’un permis d’acquisition d’arme n’autorise l’acquisition que d’une arme ou d’un élément essentiel d’une arme.</w:t>
      </w:r>
    </w:p>
    <w:p>
      <w:r>
        <w:t>Ce n’est que par dérogation que le Conseil fédéral a prévu que les cantons puissent autoriser, dans le cadre d’un seul permis, l’acquisition de trois armes ou trois éléments essentiels d’arme.</w:t>
      </w:r>
    </w:p>
    <w:p>
      <w:r>
        <w:t>Le canton de Genève a, par directive, prévu que seuls les armuriers pouvaient obtenir un permis visant trois armes ou éléments essentiels d’arme. Les motifs donnés à cette restriction, soit un meilleur contrôle de la circulation des armes, ne sont, à l’évidence, pas arbitraires dès lors que les armes peuvent, par définition, présenter un danger pour la vie et la sécurité d’autrui (art. 4 let. a LArm ; cf. aussi Le petit Robert de la langue française, édition 2015, p. 138).</w:t>
      </w:r>
    </w:p>
    <w:p>
      <w:r>
        <w:t>De plus, le SAEA applique cette directive, selon l’exemple produit par le recourant, de manière nuancée dès lors que, dans certaines hypothèses et pour des motifs précis, il délivre des permis d’acquisition pour trois armes ou éléments essentiels d’arme lorsque les requérants justifient de manière précise leur demande. De plus, ce service contrôle le respect de cette disposition et effectue les démarches nécessaires lorsque le requérant n’a pas respecté les conditions qui étaient mises.</w:t>
      </w:r>
    </w:p>
    <w:p>
      <w:r>
        <w:t>Dans le cas du recourant, ce dernier s’est limité à déposer une requête visant à pouvoir acquérir deux armes de poing et une arme longue, sans donner aucune indication précise sur les armes qu’il entendait acheter et sur les motifs qui justifieraient qu’une dérogation lui soit accordée, ni même la signer.</w:t>
      </w:r>
    </w:p>
    <w:p>
      <w:r>
        <w:t>- 7/8 - A/5092/2017</w:t>
      </w:r>
    </w:p>
    <w:p>
      <w:r>
        <w:t>Dans ces circonstances, tant la décision initiale que celle rendue sur recours ne prêtent pas le flanc à la critique et seront confirmées.</w:t>
      </w:r>
    </w:p>
    <w:p>
      <w:r>
        <w:rPr>
          <w:b/>
        </w:rPr>
        <w:t>E. 7</w:t>
      </w:r>
    </w:p>
    <w:p>
      <w:r>
        <w:t>Au vu de ce qui précède, le recours sera rejeté. Un émolument de procédure de CHF 500.- sera mis à la charge du recourant, qui succombe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