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ATA/83/2011 vom 8. Februar 2011</w:t>
      </w:r>
    </w:p>
    <w:p>
      <w:r>
        <w:t>GE Cour de justice, 2011-02-08, FR</w:t>
      </w:r>
    </w:p>
    <w:p>
      <w:r>
        <w:rPr>
          <w:b/>
        </w:rPr>
        <w:t xml:space="preserve">Quelle: </w:t>
      </w:r>
      <w:r>
        <w:t>https://mcp.opencaselaw.ch/entscheid/ge_gerichte_ATA_83_2011</w:t>
      </w:r>
    </w:p>
    <w:p>
      <w:r>
        <w:t>FR: GE_GERICHTE ATA/83/2011 du 8 février 2011</w:t>
      </w:r>
    </w:p>
    <w:p>
      <w:r>
        <w:t>IT: GE_GERICHTE ATA/83/2011 del 8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l'entrée en vigueur de la nouvelle loi sur l'organisation judiciaire du 26 septembre 2010 (LOJ - E 2 05), l'ensemble des compétences jusqu'alors dévolues au Tribunal administratif a échu à la chambre administrative de la Cour de justice, qui est devenue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(art. 56A de l'ancienne loi sur l’organisation judiciaire du 22 novembre 1941, disposition dont la teneur a été reprise depuis le 1er janvier 2011 par l'art. 132 al. 1, 2 et 6 LOJ ; art. 63 al. 1 let. a de la loi sur la procédure administrative du 12 septembre 1985 - LPA - E 5 10, dans sa teneur en vigueur au 31 décembre 2010).</w:t>
      </w:r>
    </w:p>
    <w:p>
      <w:r>
        <w:rPr>
          <w:b/>
        </w:rPr>
        <w:t>E. 3</w:t>
      </w:r>
    </w:p>
    <w:p>
      <w:r>
        <w:t>En l'espèce le projet respecte les conditions exigées par la législation en matière de constructions. Dès lors, le fait que l’autorisation délivrée par le DCTI soit qualifiée, à tort, d’autorisation complémentaire ne permet pas d’annuler celle- ci sans tomber dans le formalisme excessif.</w:t>
      </w:r>
    </w:p>
    <w:p>
      <w:r>
        <w:rPr>
          <w:b/>
        </w:rPr>
        <w:t>E. 4</w:t>
      </w:r>
    </w:p>
    <w:p>
      <w:r>
        <w:t>Au vu de ce qui précède, le recours sera admis, la décision de l’autorité de première instance du 9 mars 2010 annulée et l'autorisation de construire DD 101635/2-1, délivrée le 21 juillet 2009, rétablie.</w:t>
      </w:r>
    </w:p>
    <w:p>
      <w:r>
        <w:t>Aucun émolument ne sera perçu. Conformément à leurs conclusions, aucune indemnité ne sera allouée aux parties (art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