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ATA/83/2004 vom 20. Januar 2004</w:t>
      </w:r>
    </w:p>
    <w:p>
      <w:r>
        <w:t>GE Cour de justice, 2004-01-20, FR</w:t>
      </w:r>
    </w:p>
    <w:p>
      <w:r>
        <w:rPr>
          <w:b/>
        </w:rPr>
        <w:t xml:space="preserve">Quelle: </w:t>
      </w:r>
      <w:r>
        <w:t>https://mcp.opencaselaw.ch/entscheid/ge_gerichte_ATA_83_2004</w:t>
      </w:r>
    </w:p>
    <w:p>
      <w:r>
        <w:t>FR: GE_GERICHTE ATA/83/2004 du 20 janvier 2004</w:t>
      </w:r>
    </w:p>
    <w:p>
      <w:r>
        <w:t>IT: GE_GERICHTE ATA/83/2004 del 20 gennaio 2004</w:t>
      </w:r>
    </w:p>
    <w:p>
      <w:pPr>
        <w:pStyle w:val="Heading2"/>
      </w:pPr>
      <w:r>
        <w:t>Regeste</w:t>
      </w:r>
    </w:p>
    <w:p>
      <w:r>
        <w:t>Résumé: Rappel de la jurisprudence. Une infraction à la LCR, en l'occurence conduite en état d'ébriété, violation des règles de la LCR et de ses devoirs en cas d'accident et délit manqué d'opposition à une prise de sang, ne suffit pas en soi à refuser la délivrance de la carte professionnelle de chauffeur de taxis employé, plus d'une année après les faits.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L'article 4 alinéa 2 lettre b loi sur les services des taxis, du 26 mars 1999 (LST - H 1 30) prévoit que la carte professionnelle de chauffeur de taxis employé ne peut être délivrée que lorsque le requérant offre des garanties de moralité et de comportement suffisantes.</w:t>
      </w:r>
    </w:p>
    <w:p>
      <w:r>
        <w:rPr>
          <w:b/>
        </w:rPr>
        <w:t>E. 3</w:t>
      </w:r>
    </w:p>
    <w:p>
      <w:r>
        <w:t>L'article 2 alinéa 1 lettre b RLST précise que cette carte n'est délivrée qu'au requérant qui offre la garantie - en raison de ses antécédents - qu'en conduisant un véhicule automobile, il est capable de respecter les prescriptions et d'avoir égard aux autres usagers de la route (le candidat ne doit pas avoir compromis la sécurité routière avec un véhicule automobile en commettant une/des infractions aux règles de la circulation pendant la période d'une année précédant le dépôt de la demande). De plus, le candidat doit produire un extrait du casier judiciaire central.</w:t>
      </w:r>
    </w:p>
    <w:p>
      <w:r>
        <w:t>Il ressort de l'exposé des motifs à l'appui du projet de loi que les conditions requises pour la délivrance de la carte professionnelle sont similaires à celles qui existaient dans la loi antérieure et sont nécessaires pour vérifier que les chauffeurs offrent des garanties de moralité (certificat de bonne vie et moeurs) et d'honnêteté (extrait du casier judiciaire).</w:t>
      </w:r>
    </w:p>
    <w:p>
      <w:r>
        <w:t>Le législateur a encore précisé, dans le commen- taire de l'article 1 LST, que les chauffeurs doivent être aptes à remplir le rôle que le public attend d'eux et qu'il leur appartient de présenter les garanties d'une activité irréprochable impliquant, entre autres, que les personnes aient les connaissances suffisantes pour exploiter leur entreprise dans le respect des lois sociales et du droit du travail (cf. Mémorial des séances</w:t>
      </w:r>
    </w:p>
    <w:p>
      <w:r>
        <w:t>- 5 -</w:t>
      </w:r>
    </w:p>
    <w:p>
      <w:r>
        <w:t>du Grand Conseil, 1998, p. 326). Dans son rapport, la commission chargée d'étudier ce projet de loi a précisé : "La lettre b concernant les garanties de moralité et de comportement - qui correspond à une clause générale que l'on retrouve dans d'autres lois régissant d'autres professions soumises à autorisation et qui existe déjà dans la législation actuellement en vigueur sur les services de taxis - doit bien entendu être maintenue" (Mémorial 1999, p. 1682).</w:t>
      </w:r>
    </w:p>
    <w:p>
      <w:r>
        <w:rPr>
          <w:b/>
        </w:rPr>
        <w:t>E. 4</w:t>
      </w:r>
    </w:p>
    <w:p>
      <w:r>
        <w:t>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(ATA P. du 7 août 2001; H. du 8 mai 2001; S. du 21 novembre 2000; B.J. du 6 juin 2000).</w:t>
      </w:r>
    </w:p>
    <w:p>
      <w:r>
        <w:t>Le tribunal de céans a admis qu'une infraction à la LCR - en l'occurrence une violation grave des règles de la circulation routière et tentative d'induction de la police en erreur - ne suffisait pas en soi à refuser la délivrance de la carte professionnelle de chauffeur de taxis employé, plus de deux ans après les faits (ATA V. du 3 décembre 2002).</w:t>
      </w:r>
    </w:p>
    <w:p>
      <w:r>
        <w:t>Dans une affaire jugée le 8 avril 2003 (ATA M. du</w:t>
      </w:r>
    </w:p>
    <w:p>
      <w:r>
        <w:rPr>
          <w:b/>
        </w:rPr>
        <w:t>E. 8</w:t>
      </w:r>
    </w:p>
    <w:p>
      <w:r>
        <w:t>avril 2003), le tribunal de céans a admis qu'un chauf- feur de taxis employé qui avait été condamné pour lésions corporelles graves en 1999, puis qui avait commis un excès de vitesse en septembre 2002, ne remplissait plus les conditions pour exercer la profession de chauffeur de taxis employé.</w:t>
      </w:r>
    </w:p>
    <w:p>
      <w:r>
        <w:t>Plus récemment, dans une affaire ou le casier judiciaire du recourant contenait trois condamnations par voie d'ordonnance et où les renseignements de police faisaient état d'une contravention pour infraction à la LStup, le Tribunal administratif a confirmé le refus de la carte d'employé (ATA. E. du 16 décembre 2003).</w:t>
      </w:r>
    </w:p>
    <w:p>
      <w:r>
        <w:t>5. En l'espèce, les infractions commises par M. B. ne</w:t>
      </w:r>
    </w:p>
    <w:p>
      <w:r>
        <w:t>- 6 -</w:t>
      </w:r>
    </w:p>
    <w:p>
      <w:r>
        <w:t>concernent que la LCR, même si elles sont d'une gravité certaine. Dans ces circonstances, le Tribunal administratif ne voit pas de motif de s'écarter du texte clair de l'article 2 alinéa 1 lettre b RLST, qui impose un délai d'une année entre une compromission de la sécurité routière par une ou des infractions à la LCR et la demande de carte professionnelle de chauffeur de taxis employé.</w:t>
      </w:r>
    </w:p>
    <w:p>
      <w:r>
        <w:t>6. Au vu de ce qui précède, le recours sera admis, et la décision litigieuse annulée. Le dossier sera renvoyé au département pour qu'il délivre la carte professionnelle de chauffeur employé sollicitée, si les autres conditions prévues par la loi sont réalisées.</w:t>
      </w:r>
    </w:p>
    <w:p>
      <w:r>
        <w:t>Une indemnité de procédure, en CHF 1'000.-, sera allouée à M. B., à la charge de l'Etat de Genève.</w:t>
      </w:r>
    </w:p>
    <w:p>
      <w:r>
        <w:t>Vu l'issue du litige, il ne sera pas perçu d'émolument (art. 87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