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ATA/839/2022 vom 23. August 2022</w:t>
      </w:r>
    </w:p>
    <w:p>
      <w:r>
        <w:t>GE Cour de justice, 2022-08-23, FR</w:t>
      </w:r>
    </w:p>
    <w:p>
      <w:r>
        <w:rPr>
          <w:b/>
        </w:rPr>
        <w:t xml:space="preserve">Quelle: </w:t>
      </w:r>
      <w:r>
        <w:t>https://mcp.opencaselaw.ch/entscheid/ge_gerichte_ATA_839_2022</w:t>
      </w:r>
    </w:p>
    <w:p>
      <w:r>
        <w:t>FR: GE_GERICHTE ATA/839/2022 du 23 août 2022</w:t>
      </w:r>
    </w:p>
    <w:p>
      <w:r>
        <w:t>IT: GE_GERICHTE ATA/839/2022 del 23 agosto 2022</w:t>
      </w:r>
    </w:p>
    <w:p>
      <w:pPr>
        <w:pStyle w:val="Heading2"/>
      </w:pPr>
      <w:r>
        <w:t>Erwägungen</w:t>
      </w:r>
    </w:p>
    <w:p>
      <w:r>
        <w:rPr>
          <w:b/>
        </w:rPr>
        <w:t>E. 12</w:t>
      </w:r>
    </w:p>
    <w:p>
      <w:r>
        <w:t>septembre 1985 - LPA - E 5 10).</w:t>
      </w:r>
    </w:p>
    <w:p>
      <w:r>
        <w:t>- 9/18 - A/1611/2021 2)</w:t>
      </w:r>
    </w:p>
    <w:p>
      <w:r>
        <w:t>Le litige porte sur la conformité au droit de la décision de l’OCPM de refuser de soumettre le dossier du recourant au SEM avec un préavis positif et d’ordonner son renvoi de Suisse.</w:t>
      </w:r>
    </w:p>
    <w:p>
      <w:r>
        <w:t>a.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1er juillet 2022, ch. 5.6.10 [ci-après : directives SEM]).</w:t>
      </w:r>
    </w:p>
    <w:p>
      <w:r>
        <w:t>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c. La reconnaissance de l'existence d'un cas d'extrême gravité implique que l'étranger concerné se trouve dans une situation de détresse personnelle. Ses</w:t>
      </w:r>
    </w:p>
    <w:p>
      <w:r>
        <w:t>- 10/18 - A/1611/2021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C- 5414/2013 du 30 juin 2015 consid. 5.1.4).</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w:t>
      </w:r>
    </w:p>
    <w:p>
      <w:r>
        <w:t>La question est donc de savoir si, en cas de retour dans le pays d'origine, les conditions de la réintégration sociale de l’intéressé, au regard de sa situation personnelle, professionnelle et familiale, seraient gravement compromises (ATA/353/2019 du 2 avril 2019 consid. 5d ; arrêts du Tribunal fédéral 2C_621/2015 du 11 décembre 2015 consid. 5.2.1 ; 2C_369/2010 du 4 novembre 2010 consid. 4.1).</w:t>
      </w:r>
    </w:p>
    <w:p>
      <w:r>
        <w:t>d.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w:t>
      </w:r>
    </w:p>
    <w:p>
      <w:r>
        <w:t>- 11/18 - A/1611/2021</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 3)</w:t>
      </w:r>
    </w:p>
    <w:p>
      <w:r>
        <w:t>Devant la chambre de céans, le recourant fait grief au TAPI d'avoir nié que ses problèmes de santé justifiaient la reconnaissance d’un cas de rigueur. Contrairement à ce qui avait été retenu dans le jugement entrepris, ses problèmes médicaux étaient relativement sévères. Plus d’une année après l’accident, il n’avait toujours pas recouvré sa capacité de travail et ses traitements médicaux devaient se poursuivre encore pendant de longs mois.</w:t>
      </w:r>
    </w:p>
    <w:p>
      <w:r>
        <w:t>En l’occurrence, selon le rapport de sortie des médecins de la H______ du 19 mai 2021, suite à une chute de sa hauteur le 20 août 2020, le recourant a subi un traumatisme crânien avec perte de connaissance, des lombo-radiculalgies droites ainsi qu’une entorse latérale et médiale de sa cheville droite. Des examens médicaux postérieurs ont révélé l’existence d’une discopathie pluri-étagée du rachis dorso-lombaire, une méralgie paresthésique de la cuisse droite et une fracture osthéochondrale non déplacée du dôme du talus droit. Dans leur appréciation médicale, les médecins de la H______ ont relevé que, pendant son séjour à la clinique en avril 2021, l’évolution subjective et objective du recourant était favorable. Ils ont noté une amélioration du schéma de marche ainsi que de l’endurance, des tests de sortie, de l’équilibre unipodal et de la force isotonique du quadriceps à droite. En fin de séjour, le recourant était capable de marcher sans moyen auxiliaire s’il effectuait une marche lente et sur de courtes distances. Une stabilisation médicale était attendue dans un délai d’un ou deux mois. Compte tenu de ces éléments, on ne saurait retenir, comme le fait le recourant, qu’il souffre encore de séquelles relativement sévères de l’accident. Si les médecins ont retenu qu’une nouvelle infiltration de l’articulation tibio-talienne et du complexe ligamentaire externe pouvait également être proposée, force est de constater que cette intervention a eu lieu le 29 juillet 2021, comme en attestent les saisies de consultation du Dr I______. Ce médecin a du reste noté une amélioration des douleurs et une meilleure stabilité grâce aux supports plantaires que porte le recourant depuis le 26 août 2021. Enfin, s’il fait valoir que son médecin traitant estimait qu’un spécialiste en orthopédie devait l’examiner prochainement, le recourant n’a produit aucune pièce attestant d’une éventuelle péjoration de son état de santé sur ce plan.</w:t>
      </w:r>
    </w:p>
    <w:p>
      <w:r>
        <w:t>- 12/18 - A/1611/2021</w:t>
      </w:r>
    </w:p>
    <w:p>
      <w:r>
        <w:t>À cela s’ajoute que l’ensemble des médecins consultés ont indiqué que le traitement à poursuivre consistait en de la physiothérapie et de l'antalgie. Or, il ressort de la jurisprudence constante de la chambre de céans concernant des cas similaires (ATA/1336/2021 du 7 décembre 2021 consid. 4), fondée sur la documentation idoine du SEM, que les soins du type de ceux requis par son état de santé sont disponibles au Kosovo, même s'ils ne sont pas forcément de la qualité offerte en Suisse et quand bien même les prestations ou le financement de la CNA ne seraient pas exportables, leur prise en charge est assurée dans la plupart des cas (ATAF F-3505/2018 consid. 3.3.2 ; E-1575/2011 consid. 4.10 ; 2011/50 consid. 8.8). Quant aux certificats médicaux produits par le recourant et attestant d’une incapacité de travail totale du 7 avril 2021 au 16 janvier 2022, ils ne se réfèrent qu’à son activité habituelle d’aide-peintre. Les médecins de la H______ ont, en effet, retenu qu’une pleine capacité de travail pouvait être attendue du recourant dans une activité adaptée respectant ses limitations fonctionnelles. Dans ces conditions et comme justement retenu par le TAPI, sans vouloir minimiser les séquelles de cet accident, elles ne sauraient justifier à elles seules la reconnaissance d'un cas de rigueur au sens des dispositions précitées.</w:t>
      </w:r>
    </w:p>
    <w:p>
      <w:r>
        <w:t>Pour le reste, il n’est pas contesté que le recourant n’est arrivé en Suisse qu’en février 2020 et qu’aucun élément au dossier ne permet de retenir une intégration socio-culturelle. Quant à l’intégration professionnelle, force est de relever que le recourant n’a travaillé que deux mois et demi en qualité d’aide- peintre. La recourant ne se prévaut d’aucune attache familiale en Suisse et ne saurait se prévaloir d’un comportement irréprochable, dès lors qu’il a contrevenu aux prescriptions de police des étrangers.</w:t>
      </w:r>
    </w:p>
    <w:p>
      <w:r>
        <w:t>C’est ainsi sans excès ni abus de son pouvoir d’appréciation que l’autorité a retenu que le recourant ne remplissait pas les conditions permettant d'admettre l'existence d'un cas individuel d'extrême gravité. 4)</w:t>
      </w:r>
    </w:p>
    <w:p>
      <w:r>
        <w:t>Le recourant soutient que son renvoi ne serait pas raisonnablement exigible en raison de son état de santé.</w:t>
      </w:r>
    </w:p>
    <w:p>
      <w:r>
        <w:t>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En l'espèce, dès lors qu'il a, à juste titre, refusé l’octroi d’autorisations de séjour au recourant, l'intimé devait prononcer son renvoi.</w:t>
      </w:r>
    </w:p>
    <w:p>
      <w:r>
        <w:t>b. Le renvoi d'un étranger en application de l'art. 64 al. 1 LEI ne peut être ordonné que si l'exécution de celui-ci est possible, licite ou peut être</w:t>
      </w:r>
    </w:p>
    <w:p>
      <w:r>
        <w:t>- 13/18 - A/1611/2021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w:t>
      </w:r>
    </w:p>
    <w:p>
      <w:r>
        <w:t>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t>- 14/18 - A/1611/2021</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d. En l’espèce, le recourant fait valoir, de manière très générale, qu’il doit pouvoir rester en Suisse pour bénéficier des soins médicaux dont il a besoin.</w:t>
      </w:r>
    </w:p>
    <w:p>
      <w:r>
        <w:t>Or, il a été vu plus haut que les soins et les contrôles qui lui seraient encore nécessaires étaient disponibles au Kosovo. Le recourant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(ATA/1196/2020 du 9 novembre 2021 consid. 6a).</w:t>
      </w:r>
    </w:p>
    <w:p>
      <w:r>
        <w:t>Il est relevé, au demeurant,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TAF E-7106/2018 du 4 mai 2021 consid. 8.2 et les références citées).</w:t>
      </w:r>
    </w:p>
    <w:p>
      <w:r>
        <w:t>L’état de santé du recourant et la crise sanitaire ne constituent donc pas des causes rendant l’exécution de son renvoi illicite, impossible ou non-exigible.</w:t>
      </w:r>
    </w:p>
    <w:p>
      <w:r>
        <w:t>Les considérants qui précèdent conduisent au rejet du recours. Le présent arrêt rend sans objet la demande de mesures provisionnelles. 5)</w:t>
      </w:r>
    </w:p>
    <w:p>
      <w:r>
        <w:t>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