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ATA/839/2016 vom 7. Oktober 2016</w:t>
      </w:r>
    </w:p>
    <w:p>
      <w:r>
        <w:t>GE Cour de justice, 2016-10-07, FR</w:t>
      </w:r>
    </w:p>
    <w:p>
      <w:r>
        <w:rPr>
          <w:b/>
        </w:rPr>
        <w:t xml:space="preserve">Quelle: </w:t>
      </w:r>
      <w:r>
        <w:t>https://mcp.opencaselaw.ch/entscheid/ge_gerichte_ATA_839_2016</w:t>
      </w:r>
    </w:p>
    <w:p>
      <w:r>
        <w:t>FR: GE_GERICHTE ATA/839/2016 du 7 octobre 2016</w:t>
      </w:r>
    </w:p>
    <w:p>
      <w:r>
        <w:t>IT: GE_GERICHTE ATA/839/2016 del 7 ottobre 2016</w:t>
      </w:r>
    </w:p>
    <w:p>
      <w:pPr>
        <w:pStyle w:val="Heading2"/>
      </w:pPr>
      <w:r>
        <w:t>Erwägungen</w:t>
      </w:r>
    </w:p>
    <w:p>
      <w:r>
        <w:rPr>
          <w:b/>
        </w:rPr>
        <w:t>E. 1</w:t>
      </w:r>
    </w:p>
    <w:p>
      <w:r>
        <w:t>Interjeté en temps utile - c'est-à-dire dans le délai de dix jours dès la notification du jugement querellé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w:t>
      </w:r>
    </w:p>
    <w:p>
      <w:r>
        <w:t>- 5/7 -</w:t>
      </w:r>
    </w:p>
    <w:p>
      <w:r>
        <w:t>A/3012/2016</w:t>
      </w:r>
    </w:p>
    <w:p>
      <w:r>
        <w:rPr>
          <w:b/>
        </w:rPr>
        <w:t>E. 2</w:t>
      </w:r>
    </w:p>
    <w:p>
      <w:r>
        <w:t>Selon l’art. 10 al. 2 1ère phr. LaLEtr, la chambre administrative doit statuer dans les dix jours qui suivent sa saisine. Ayant reçu le recours le 30 septembre 2016,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rPr>
          <w:b/>
        </w:rPr>
        <w:t>E. 5</w:t>
      </w:r>
    </w:p>
    <w:p>
      <w:r>
        <w:t>Dans son arrêt du 8 juillet 2016, la chambre de céans a confirmé que les conditions d’un maintien en détention en vue de renvoi du recourant en raison d’un risque de fuite étaient réalisées alors même que la nationalité de celui-ci était en cours d’établissement. Depuis lors aucune circonstance nouvelle ne s’est réalisée, qui permettrait d’avoir une autre appréciation. Le fait qu’entretemps la Guinée Bissau ait reconnu l’intéressé comme l’un de ses ressortissants vient au contraire confirmer le bien-fondé de la mesure, notamment sous l’angle de la proportionnalité puisque une condition supplémentaire permettant l’exécution du renvoi est maintenant réalisée.</w:t>
      </w:r>
    </w:p>
    <w:p>
      <w:r>
        <w:t>- 6/7 -</w:t>
      </w:r>
    </w:p>
    <w:p>
      <w:r>
        <w:t>A/3012/2016</w:t>
      </w:r>
    </w:p>
    <w:p>
      <w:r>
        <w:rPr>
          <w:b/>
        </w:rPr>
        <w:t>E. 6</w:t>
      </w:r>
    </w:p>
    <w:p>
      <w:r>
        <w:t>Le recourant continue à affirmer, nonobstant la reconnaissance de nationalité intervenue, qu’il est un ressortissant du Mali, alors même que les autorités de ce pays ne l’ont pas reconnu comme tel. Il n’appartient pas à la chambre de céans de remettre en question les décisions des autorité d’autres États, ou le bien-fondé des démarches entreprises par le SEM en vue d’assister les autorités cantonales chargées du renvoi sur la base de l’art. 3 de l’ordonnance du Conseil fédéral sur l’exécution du renvoi et de l’expulsion d’étrangers du</w:t>
      </w:r>
    </w:p>
    <w:p>
      <w:r>
        <w:rPr>
          <w:b/>
        </w:rPr>
        <w:t>E. 11</w:t>
      </w:r>
    </w:p>
    <w:p>
      <w:r>
        <w:t>août 1999 (OERE – RS 142.281). Dès lors, dans l’examen du présent recours il sera retenu que le recourant est un ressortissant bissau-guinéen, pays dont la chambre administrative relève qu’il est principalement lusophone, mais compte également une communauté francophone, est à ce titre membre de l’organisation internationale de la francophonie. 7.</w:t>
      </w:r>
    </w:p>
    <w:p>
      <w:r>
        <w:t>C’est de manière conforme au droit que le TAPI a prolongé la détention administrative de M. A______, pour une durée respectant le principe de la proportionnalité car devant permettre l’exécution du renvoi y compris par vol DEPU.</w:t>
      </w:r>
    </w:p>
    <w:p>
      <w:r>
        <w:t>Mal fondé, le recours sera rejeté. 8.</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