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ATA/838/2012 vom 18. Dezember 2012</w:t>
      </w:r>
    </w:p>
    <w:p>
      <w:r>
        <w:t>GE Cour de justice, 2012-12-18, FR</w:t>
      </w:r>
    </w:p>
    <w:p>
      <w:r>
        <w:rPr>
          <w:b/>
        </w:rPr>
        <w:t xml:space="preserve">Quelle: </w:t>
      </w:r>
      <w:r>
        <w:t>https://mcp.opencaselaw.ch/entscheid/ge_gerichte_ATA_838_2012</w:t>
      </w:r>
    </w:p>
    <w:p>
      <w:r>
        <w:t>FR: GE_GERICHTE ATA/838/2012 du 18 décembre 2012</w:t>
      </w:r>
    </w:p>
    <w:p>
      <w:r>
        <w:t>IT: GE_GERICHTE ATA/838/2012 del 18 dicembre 2012</w:t>
      </w:r>
    </w:p>
    <w:p>
      <w:pPr>
        <w:pStyle w:val="Heading2"/>
      </w:pPr>
      <w:r>
        <w:t>Erwägungen</w:t>
      </w:r>
    </w:p>
    <w:p>
      <w:r>
        <w:rPr>
          <w:b/>
        </w:rPr>
        <w:t>E. 1</w:t>
      </w:r>
    </w:p>
    <w:p>
      <w:r>
        <w:t>Interjeté en temps utile auprès de la juridiction compétente, le recours est recevable sous cet angle (art. 132 de la loi sur l’organisation judiciaire du 26 septembre 2010 - LOJ - E 2 05 ; art. 62 al. 1 let. a de la loi sur la procédure administrative du 12 septembre 1985 - LPA - E 5 10).</w:t>
      </w:r>
    </w:p>
    <w:p>
      <w:r>
        <w:t>- 3/5 - A/818/2012</w:t>
      </w:r>
    </w:p>
    <w:p>
      <w:r>
        <w:rPr>
          <w:b/>
        </w:rPr>
        <w:t>E. 2</w:t>
      </w:r>
    </w:p>
    <w:p>
      <w:r>
        <w:t>En vertu de l’art. 64 al. 1 LPA, le recours est formé par écrit et adressé à la juridiction administrative appelée à en connaître.</w:t>
      </w:r>
    </w:p>
    <w:p>
      <w:r>
        <w:rPr>
          <w:b/>
        </w:rPr>
        <w:t>E. 3</w:t>
      </w:r>
    </w:p>
    <w:p>
      <w:r>
        <w:t>A teneur des art. 12 ss de la loi fédérale complétant le Code civil suisse du 30 mars 1911 (Livre cinquième : Droit des obligations - CO - RS 220),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(ATA/12/2006 du 10 janvier 2006 ; ATA/277/2002 du 28 mai 2002 et les références citées).</w:t>
      </w:r>
    </w:p>
    <w:p>
      <w:r>
        <w:t>Selon le droit en vigueur, le défaut de signature est cependant un vice réparable pour autant que la signature soit ajoutée pendant le délai de recours (art. 52 al. 2 de la loi fédérale sur la procédure administrative du 20 décembre 1968 - PA - RS 172.021 ; art. 30 al. 2 de la loi fédérale d’organisation judiciaire du 16 décembre 1943 - OJ - RS 173.110 ; art. 65 al. 3 LPA ; ATF 125 I 166 ; ATA/808/2012 du 27 novembre 2012 et la jurisprudence citée). Cette réglementation tend à éviter tout formalisme excessif en permettant à l’intéressé de réparer son omission.</w:t>
      </w:r>
    </w:p>
    <w:p>
      <w:r>
        <w:rPr>
          <w:b/>
        </w:rPr>
        <w:t>E. 4</w:t>
      </w:r>
    </w:p>
    <w:p>
      <w:r>
        <w:t>En l’espèce, le recours a été posté le 21 novembre 2012, soit le dernier jour du délai de recours contre le jugement du TAPI reçu le 22 octobre 2012. La chambre administrative l’ayant reçu le 22 novembre 2012, il ne lui était matériellement plus possible de s’adresser à l’avocat des recourants pour réparer cette omission.</w:t>
      </w:r>
    </w:p>
    <w:p>
      <w:r>
        <w:t>La signature par un avocat ou par une autre personne de la lettre d’accompagnement du recours n’équivaut pas à la signature de ce dernier, lequel constitue un document spécifique et distinct (ATA/750/2012 du 30 octobre 2012).</w:t>
      </w:r>
    </w:p>
    <w:p>
      <w:r>
        <w:t>Le recours ne peut donc qu’être déclaré irrecevable car non signé.</w:t>
      </w:r>
    </w:p>
    <w:p>
      <w:r>
        <w:rPr>
          <w:b/>
        </w:rPr>
        <w:t>E. 5</w:t>
      </w:r>
    </w:p>
    <w:p>
      <w:r>
        <w:t>La juridiction administrative statue sur les frais de procédure. Il incombe à la partie qui succombe de les supporter. Ils seront arrêtés en l’espèce à CHF 400.- et mis à la charge conjointe et solidaire des recourants. Aucune indemnité de procédure ne leur sera allouée (art. 87 LPA).</w:t>
      </w:r>
    </w:p>
    <w:p>
      <w:r>
        <w:t>- 4/5 - A/818/2012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