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ATA/835/2015 vom 12. August 2015</w:t>
      </w:r>
    </w:p>
    <w:p>
      <w:r>
        <w:t>GE Cour de justice, 2015-08-12, FR</w:t>
      </w:r>
    </w:p>
    <w:p>
      <w:r>
        <w:rPr>
          <w:b/>
        </w:rPr>
        <w:t xml:space="preserve">Quelle: </w:t>
      </w:r>
      <w:r>
        <w:t>https://mcp.opencaselaw.ch/entscheid/ge_gerichte_ATA_835_2015</w:t>
      </w:r>
    </w:p>
    <w:p>
      <w:r>
        <w:t>FR: GE_GERICHTE ATA/835/2015 du 12 août 2015</w:t>
      </w:r>
    </w:p>
    <w:p>
      <w:r>
        <w:t>IT: GE_GERICHTE ATA/835/2015 del 12 agosto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5 août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w:t>
      </w:r>
    </w:p>
    <w:p>
      <w:r>
        <w:t>- 8/12 - A/2616/2015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(recte : proportionné)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6) a. Depuis l'entrée en vigueur, le 1er juillet 2015, de l'art. 76a LEtr, la détention dans le cadre de la procédure Dublin est érigée en cas indépendant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 et</w:t>
      </w:r>
    </w:p>
    <w:p>
      <w:r>
        <w:t>c) d'autres mesures moins coercitives ne peuvent être appliquées de manière efficace (art. 28 § 2 du règlement Dublin III précité).</w:t>
      </w:r>
    </w:p>
    <w:p>
      <w:r>
        <w:t>Sont notamment considérés, de par la loi, comme des éléments concrets au sens de l'art. 76a al. 1 let. a LEtr, le fait que le comportement de l'individu concerné en Suisse ou à l'étranger permette de conclure qu'il refuse d'obtempérer aux instructions des autorités (art. 76a al. 2 let. b LEtr), ou encore le fait qu'il franchisse la frontière malgré une interdiction d'entrer en Suisse et ne puisse pas être renvoyé immédiatement (art. 76a al. 2 let. e LEtr).</w:t>
      </w:r>
    </w:p>
    <w:p>
      <w:r>
        <w:t>c. La durée maximale de la détention est prévue à l'art. 76a al. 3 LEtr.</w:t>
      </w:r>
    </w:p>
    <w:p>
      <w:r>
        <w:t>- 9/12 - A/2616/2015</w:t>
      </w:r>
    </w:p>
    <w:p>
      <w:r>
        <w:t>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(art. 76a, al. 2, let. a à i, P-LEtr) » (FF 2014 2587 ss, 2607). 7) a. Par ailleurs,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comme la survenance d'un nouveau motif de détention ou la disparition de l'impossibilité dont était affecté le renvoi (arrêt du Tribunal fédéral 2A.211/2003 du 5 juin 2003 consid. 3.2). Tel peut par exemple être le cas si l'étranger part dans la clandestinité après la libération de sa première détention (cf. ATF 121 II 110 consid. 2d). Est aussi envisageable la situation où l'autorité aurait levé une première détention administrative dès lors que l'exécution du renvoi de l'étranger, en soi possible, n'apparaissait plus comme vraisemblable dans un délai utile ; en tant que les causes pour la mise en détention de l'étranger persisteraient, cette même autorité pourrait ordonner la réincarcération de celui-ci, si ce renvoi s'avérait par la suite à nouveau vraisemblable dans un délai raisonnable (ATF 140 II 1 précité consid. 5.2).</w:t>
      </w:r>
    </w:p>
    <w:p>
      <w:r>
        <w:t>b.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8)</w:t>
      </w:r>
    </w:p>
    <w:p>
      <w:r>
        <w:t>En l'espèce, on doit admettre la possibilité d'une seconde mise en détention administrative, dès lors que la mise en liberté du recourant avait été admise par un jugement de l'autorité judiciaire de première instance qui a été par la suite annulé par la chambre de céans en tant qu'autorité de deuxième instance. 9)</w:t>
      </w:r>
    </w:p>
    <w:p>
      <w:r>
        <w:t>S'agissant des conditions d'application de l'art. 76a al. 1 et 2 LEtr, M. A______ a déjà opposé un refus de monter à bord d'un avion à destination de l'Italie lors de la première procédure de renvoi, et a dû faire l'objet d'un vol avec escorte. En outre, et quand bien même la chambre de céans a considéré dans un précédent arrêt qu'une telle démarche ne lui était « pas imputable à charge » au vu</w:t>
      </w:r>
    </w:p>
    <w:p>
      <w:r>
        <w:t>- 10/12 - A/2616/2015 des circonstances, force est de constater que le recourant a franchi la frontière en avril 2015 malgré une interdiction d'entrée dont il connaissait la teneur.</w:t>
      </w:r>
    </w:p>
    <w:p>
      <w:r>
        <w:t>Les déclarations du recourant, selon lesquelles il est disposé à retourner en Italie une fois son traitement terminé, équivalent en fait à un refus. En effet, au vu du délai de réadmission prévu par la législation d'application des accords de Dublin d'une part, et de la durée prévue du traitement (indéterminée selon le certificat médical du 10 juillet 2015, plusieurs affections étant en cours d'investigation, dont une nécessitant un nouvel examen à fin 2015) d’autre part, une réadmission dans le délai serait tout simplement impossible, ce que le recourant n'ignore pas.</w:t>
      </w:r>
    </w:p>
    <w:p>
      <w:r>
        <w:t>Par ailleurs, le suivi de traitements médicaux ne peut être considéré comme une garantie de la possibilité d'exécuter le renvoi le moment venu (ATA/514/2015 du 11 mars 2015 consid. 6c ; ATA/493/2014 du 25 juin 2014 consid. 5).</w:t>
      </w:r>
    </w:p>
    <w:p>
      <w:r>
        <w:t>Dès lors, même si le recourant n'a pas disparu dans la clandestinité jusqu'à présent, les conditions de l'art. 76a al. 2 let. b et e sont remplies et un risque non négligeable de fuite au sens de l'art. 76a al. 1 let. a LEtr doit être considéré comme avéré, étant rappelé au surplus que le recourant a indiqué avoir de la famille en Allemagne. 10) Quant à la proportionnalité de la mesure, la durée prévue de la détention est adéquate pour assurer l'exécution du renvoi vers l'Italie. Les démarches nécessaires à l'exécution du renvoi ont par ailleurs été prises sans tarder, puisqu'un billet d'avion à destination de l'Italie a été réservé le jour même de la mise en détention du recourant.</w:t>
      </w:r>
    </w:p>
    <w:p>
      <w:r>
        <w:t>Enfin, aucune autre mesure moins incisive n'est, au vu du risque de fuite retenu plus haut, envisageable. 11) Le recours, entièrement mal fondé, sera dès lors rejeté. 12)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