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ATA/831/2025 vom 5. August 2025</w:t>
      </w:r>
    </w:p>
    <w:p>
      <w:r>
        <w:t>GE Cour de justice, 2025-08-05, FR</w:t>
      </w:r>
    </w:p>
    <w:p>
      <w:r>
        <w:rPr>
          <w:b/>
        </w:rPr>
        <w:t xml:space="preserve">Quelle: </w:t>
      </w:r>
      <w:r>
        <w:t>https://mcp.opencaselaw.ch/entscheid/ge_gerichte_ATA_831_2025</w:t>
      </w:r>
    </w:p>
    <w:p>
      <w:r>
        <w:t>FR: GE_GERICHTE ATA/831/2025 du 5 août 2025</w:t>
      </w:r>
    </w:p>
    <w:p>
      <w:r>
        <w:t>IT: GE_GERICHTE ATA/831/2025 del 5 agosto 2025</w:t>
      </w:r>
    </w:p>
    <w:p>
      <w:pPr>
        <w:pStyle w:val="Heading2"/>
      </w:pPr>
      <w:r>
        <w:t>Regeste</w:t>
      </w:r>
    </w:p>
    <w:p>
      <w:r>
        <w:t>Résumé: Recours d’une fonctionnaire contre la résiliation de ses rapports de service fondée sur une incapacité durable de travailler au poste qu’elle occupait. Ce constat reposait sur l’avis du médecin du travail, qui connaissait les besoins et risques concrets relatifs aux postes disponibles. Cet avis concordait en outre avec l’expertise requise par l’autorité au sujet de la capacité de travail de la recourante. Cette expertise était détaillée, fondée sur des éléments concrets, concluante et elle rejoignait les conclusions auxquelles étaient parvenues les actuelle et ancienne hiérarchies de la recourante. La valeur probante de l’expertise était plus forte que celle de l’avis du psychiatre de cette dernière. Le constat d’aptitude au travail de l’OCAS ne liait pas l’employeur. Pas d’abus du pouvoir d’appréciation de l’autorité et recours rejeté.</w:t>
      </w:r>
    </w:p>
    <w:p>
      <w:pPr>
        <w:pStyle w:val="Heading2"/>
      </w:pPr>
      <w:r>
        <w:t>Erwägungen</w:t>
      </w:r>
    </w:p>
    <w:p>
      <w:r>
        <w:rPr>
          <w:b/>
        </w:rPr>
        <w:t>E. 4</w:t>
      </w:r>
    </w:p>
    <w:p>
      <w:r>
        <w:t>Vu l'issue du litige, un émolument de CHF 1'000.- sera mis à la charge de la recourante (art. 87 al. 1 LPA) et aucune indemnité de procédure ne sera allouée (art. 87 al. 2 LPA).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