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ATA/831/2022 vom 23. August 2022</w:t>
      </w:r>
    </w:p>
    <w:p>
      <w:r>
        <w:t>GE Cour de justice, 2022-08-23, FR</w:t>
      </w:r>
    </w:p>
    <w:p>
      <w:r>
        <w:rPr>
          <w:b/>
        </w:rPr>
        <w:t xml:space="preserve">Quelle: </w:t>
      </w:r>
      <w:r>
        <w:t>https://mcp.opencaselaw.ch/entscheid/ge_gerichte_ATA_831_2022</w:t>
      </w:r>
    </w:p>
    <w:p>
      <w:r>
        <w:t>FR: GE_GERICHTE ATA/831/2022 du 23 août 2022</w:t>
      </w:r>
    </w:p>
    <w:p>
      <w:r>
        <w:t>IT: GE_GERICHTE ATA/831/2022 del 23 agosto 2022</w:t>
      </w:r>
    </w:p>
    <w:p>
      <w:pPr>
        <w:pStyle w:val="Heading2"/>
      </w:pPr>
      <w:r>
        <w:t>Erwägungen</w:t>
      </w:r>
    </w:p>
    <w:p>
      <w:r>
        <w:rPr>
          <w:b/>
        </w:rPr>
        <w:t>E. 12</w:t>
      </w:r>
    </w:p>
    <w:p>
      <w:r>
        <w:t>septembre 1985 - LPA - E 5 10). 2)</w:t>
      </w:r>
    </w:p>
    <w:p>
      <w:r>
        <w:t>Le recourant considère que la décision de la commission se base sur un état de fait erroné et qu'aucune violation des règles sur la profession d'avocat ne peut lui être reprochée.</w:t>
      </w:r>
    </w:p>
    <w:p>
      <w:r>
        <w:t>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w:t>
      </w:r>
    </w:p>
    <w:p>
      <w:r>
        <w:t>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du 30 mars 1911, complétant le Code civil suisse - CO, Code des obligations - RS 220 ;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w:t>
      </w:r>
    </w:p>
    <w:p>
      <w:r>
        <w:t>Toute violation du devoir de diligence contractuel n’implique pas l’existence d’un manquement de nature disciplinaire au sens de l’art. 12 let. a LLCA. Cette disposition suppose l'existence d'un manquement significatif aux devoirs de la profession (ATF 144 II 473 consid. 4). L’avocat ne risque une sanction disciplinaire que lorsqu’il viole de manière intentionnelle ou gravement négligente son devoir de diligence. Un mauvais conseil ou une erreur de</w:t>
      </w:r>
    </w:p>
    <w:p>
      <w:r>
        <w:t>- 13/20 - A/3681/2021 procédure, s’ils peuvent entraîner une responsabilité contractuelle de l’avocat, n’ont pas de conséquences disciplinaires.</w:t>
      </w:r>
    </w:p>
    <w:p>
      <w:r>
        <w:t>La rémunération de l'avocat doit être objectivement proportionnée (ATF 101 II 109 consid. 2 = JdT 1976 I 333). Les critères généralement retenus sont le travail effectué, la complexité et l'importance de l'affaire, la responsabilité assumée, le résultat obtenu et la situation du client (Benoît CHAPPUIS, La profession d'avocat, Tome II, La pratique du métier : De la gestion d'une étude et la conduite des mandats à la responsabilité de l'avocats, 2017, p. 66). L'adéquation de la rémunération fait partie du devoir de diligence de l'avocat, de sorte qu'une facturation notablement excessive constitue une violation de ce dernier, particulièrement parce qu'elle sape la confiance que l'on doit pouvoir placer en lui (Walter FELLMANN, op. cit., 2011, n. 169 ad art. 12 LLCA ; Michel VALTICOS in Michel VALTICOS/ Christian M. REISER/Benoît CHAPPUIS [éd.], Loi sur les avocats : commentaire de la loi fédérale sur la libre circulation des avocats [loi sur les avocats, LLCA], 2010, n. 32 ad art. 12 LLCA ; Benoît CHAPPUIS, op. cit., Tome II, p. 67).</w:t>
      </w:r>
    </w:p>
    <w:p>
      <w:r>
        <w:t>L’avocat a aussi un devoir d’information envers le client. Ce devoir a en réalité des fondements juridiques divers – LLCA, CO, règles déontologiques – et présente des facettes multiples ; il constitue à n’en pas douter une des obligations les plus importantes de l’avocat. La LLCA n’institue cependant un devoir d’information exprès qu’à l’art. 12 let. i LLCA qui oblige l’avocat à renseigner son client sur son mode de facturation et le montant des honoraires. Pour le reste, c’est au devoir général de diligence qu’il faut se référer. En vertu de ce dernier, l’avocat est tenu d’informer son client sur l’ensemble des risques liés à son affaire, en particulier les coûts et frais (notamment judiciaires et administratifs) qui en découleront (Benoît CHAPPUIS, op. cit., Tome I, pp. 54-55). Plus le contrat d'honoraires concret s'écarte de la rémunération normalement due, plus l'avocat doit informer le client avec précision sur les effets du contrat et sur la différence qu'il entraîne. Les dépassements de grande ampleur ne sont autorisés que dans des cas exceptionnels et nécessiteraient une clarification méticuleuse du client et un consentement sans équivoque (Beat HESS, Das Anwaltsgesetz des Bundes und seine Umsetzung durch die Kantone am Beispiel des Kantons Bern, RSJB 2004, p. 119).</w:t>
      </w:r>
    </w:p>
    <w:p>
      <w:r>
        <w:t>Comme tout mandataire, l’avocat a ainsi le devoir général de rendre compte à son client à première demande de sa part ; cette reddition de comptes s’étend aussi bien à la conduite de son mandat et à l’évolution du dossier proprement dit qu’à toute circonstance susceptible de concerner son client (Michel VALTICOS in Michel VALTICOS/Christian REISER/Benoît CHAPPUIS, op. cit., n. 29 ad art. 12 ; ATA/1014/2020 du 13 octobre 2020 consid. 3a).</w:t>
      </w:r>
    </w:p>
    <w:p>
      <w:r>
        <w:t>b. La formulation très large de l’art. 12 let. a LLCA constitue également une clause générale qui demande à être interprétée et qui permet de la sorte aux</w:t>
      </w:r>
    </w:p>
    <w:p>
      <w:r>
        <w:t>- 14/20 - A/3681/2021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 op. cit., Tome I, pp. 50-51).</w:t>
      </w:r>
    </w:p>
    <w:p>
      <w:r>
        <w:t>Ainsi, en exigeant de l’avocat qu’il se comporte correctement dans l’exercice de sa profession, l'art. 12 let. a LLCA ne se limite pas aux rapports entre le client et l’avocat, mais vise également le comportement de ce dernier face aux autorités en général, y compris les autorités judiciaires (ATF 130 I 270 consid. 3.2 p. 276 s. ; arrêts du Tribunal fédéral 2C_150/2008 du 10 juillet 2008 consid. 7.1 ; 2A.545/2003 du 4 mai 2004 consid. 3 ; Message concernant la loi fédérale sur la libre circulation des avocats du 28 avril 1999, FF 1999 5331, p. 5368) dans le but d’assurer le respect de celles-ci, ainsi que la confiance placée dans l’avocat (arrêt du Tribunal fédéral 4P.36/2004 du 7 mai 2004 consid. 5). L'avocat assume une tâche essentielle à l'administration de la justice en garantissant le respect des droits des justiciables et joue ainsi un rôle important dans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w:t>
      </w:r>
    </w:p>
    <w:p>
      <w:r>
        <w:t>c.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(ci-après : FSA) a précisément édicté le Code suisse de déontologie (ci-après : le CSD) ; consultable sur http://www.sav-fsa.ch, entré en vigueur le 1er juillet 2005 et modifié le 22 juin 2012.</w:t>
      </w:r>
    </w:p>
    <w:p>
      <w:r>
        <w:t>d. À teneur de l'art. 1 CSD, l'avocat exerce sa profession avec soin et diligence et dans le respect de l'ordre juridique. Il s'abstient de toute activité susceptible de mettre en cause la confiance mise en lui.</w:t>
      </w:r>
    </w:p>
    <w:p>
      <w:r>
        <w:t>Selon l'art. 18 CSD, le montant des honoraires doit être approprié. Il se détermine selon les circonstances du cas d'espèce, la difficulté et l'importance de</w:t>
      </w:r>
    </w:p>
    <w:p>
      <w:r>
        <w:t>- 15/20 - A/3681/2021 l'affaire, l'intérêt du client, l'expérience de l'avocat, les usages en la matière et l'issue de la procédure. 3) a. Selon l'art. 14 al. 1 de la loi sur la profession d’avocat (LPAv - E 610), la commission exerce les compétences dévolues à l'autorité de surveillance des avocats par la LLCA, ainsi que les compétences qui lui sont attribuées par la LPAv.</w:t>
      </w:r>
    </w:p>
    <w:p>
      <w:r>
        <w:t>Les avocats inscrits au registre sont soumis, sans préjudice des règles de droit commun, à la surveillance de la commission (art. 42 al. 1 LPAv). La commission statue sur tout manquement aux devoirs professionnels. Si un tel manquement est constaté, elle peut, suivant la gravité du cas, prononcer les sanctions énoncées à l'art. 17 LLCA. La prescription est régie par l'art. 19 de cette même loi (art. 43 al. 1 LPAv).</w:t>
      </w:r>
    </w:p>
    <w:p>
      <w:r>
        <w:t>b. 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Le comportement sanctionné par l'art. 12 let. a LLCA suppose partant un manquement significatif aux devoirs de la profession.</w:t>
      </w:r>
    </w:p>
    <w:p>
      <w:r>
        <w:t>c. La chambre administrative examine librement si le comportement incriminé contrevient à l'art. 12 let. a et i LLCA (art. 67 LPA ; arrêt du Tribunal fédéral 2P.318/2006 du 27 juillet 2007 consid. 12.1 ; ATA/258/2021 du 2 mars 2021 consid. 7 ; ATA/1014/2020 du 13 octobre 2020 ; ATA/1405/2017 du</w:t>
      </w:r>
    </w:p>
    <w:p>
      <w:r>
        <w:rPr>
          <w:b/>
        </w:rPr>
        <w:t>E. 17</w:t>
      </w:r>
    </w:p>
    <w:p>
      <w:r>
        <w:t>octobre 2017 ; ATA/820/2014 du 28 octobre 2014). 4)</w:t>
      </w:r>
    </w:p>
    <w:p>
      <w:r>
        <w:t>Lorsque le complexe de fait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ne peut s’écarter du jugement pénal que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w:t>
      </w:r>
    </w:p>
    <w:p>
      <w:r>
        <w:t>- 16/20 - A/3681/2021 lorsque le juge pénal ne s'est pas prononcé sur toutes les questions de droit (ATF 139 II 95 consid. 3.2 ; 136 II 447 consid. 3.1 ; 129 II 312 consid. 2.4 ; 1C_202/2018 précité consid. 2.2). 5)</w:t>
      </w:r>
    </w:p>
    <w:p>
      <w:r>
        <w:t>Le recourant, dans ses écritures, conteste l'arrêt de la CPAR confirmé par le Tribunal fédéral. L'analyse de l'arrêt pénal et de la procédure disciplinaire devant la commission ne permet cependant pas de considérer que des faits déterminants aient été omis par la juridiction pénale, que des faits nouveaux soient survenus depuis, que l'appréciation de la CPAR se heurte aux faits constatés ou que la juridiction pénale ne se soit pas prononcée sur toutes les questions de droit pertinentes pour la procédure disciplinaire.</w:t>
      </w:r>
    </w:p>
    <w:p>
      <w:r>
        <w:t>Aucune des conditions permettant à la chambre de céans de s'en écarter n'étant réalisée, il sera tenu compte de l'arrêt pénal définitif prononcé contre le recourant dans le cadre de l'analyse de la conformité de la décision de la commission, étant précisé que les aspects juridiques ont été revus par le Tribunal fédéral, qui a confirmé l'arrêt cantonal rendu par la CPAR. 6) a. Le recourant soutient d'abord que, contrairement aux considérations émises par la CPAR, il n'avait pas été lié à C______ par un contrat de mandat d'avocat. Il ressort de l'arrêt précité que la juridiction pénale est arrivée à la qualification du contrat de mandat d'avocat après avoir procédé à une analyse détaillée des conditions légales du contrat d'avocat, de l'activité concrètement exercée par le recourant et de l'intention des parties qui portait notamment sur la qualité d'avocat du recourant dans le cadre du mandat.</w:t>
      </w:r>
    </w:p>
    <w:p>
      <w:r>
        <w:t>Dans la mesure où rien ne permet de s'écarter de cette qualification que la chambre de céans fait entièrement sienne, il sera retenu que le contrat liant le recourant à C______ est un mandat d'avocat.</w:t>
      </w:r>
    </w:p>
    <w:p>
      <w:r>
        <w:t>b. Il est établi que l'activité pour le mandant a abouti au paiement de la somme totale de CHF 30'050'611.- d'honoraires pour toute la période du mandat. Ce montant est en disproportion totale avec la rémunération hypothétique se situant entre CHF 1'500'000.- et CHF 2'000'000.- par an, retenue par la CPAR à titre d'hypothèse la plus favorable à l'intéressé tout en restant dans la limite « extrême » du réaliste. Une différence de CHF 20'545'521.- entre les montants facturés et ce que le recourant aurait dû raisonnablement facturer à C______ a été établie par la juridiction pénale. La rémunération du recourant était ainsi totalement disproportionnée et injustifiable économiquement par rapport au travail effectué, qui ne l'avait, par ailleurs, occupé qu'à 50 %.</w:t>
      </w:r>
    </w:p>
    <w:p>
      <w:r>
        <w:t>Les arguments du recourant selon lesquels les tarifs pratiqués avaient été fixés par C______ et qu'il n'avait pas d'obligation d'informer du montant total des honoraires ne peuvent être suivis. Dans la mesure où le caractère des honoraires pratiqués était exorbitant, il avait le devoir de s'assurer que la hiérarchie de</w:t>
      </w:r>
    </w:p>
    <w:p>
      <w:r>
        <w:t>- 17/20 - A/3681/2021 M. D______ était informée de manière précise et détaillée des modalités de calcul de ses honoraires et les acceptait nonobstant leur caractère et importance inusuels. De plus, étant donné que le courrier formalisant la collaboration et le mode de rémunération avec C______ ne mentionnait pas les forfaits relatifs aux sommations et aux TAFo et n'avait pas été complété par la suite, le recourant ne pouvait pas partir de l'idée que, dès lors que son unique interlocuteur était un représentant autorisé de l'institution et que ses factures avaient été payées sans discussion, le conseil d'administration ou la direction générale de C______ étaient bien informés des modalités et du volume de facturation. Par ailleurs, les factures envoyées étaient opaques et ne mentionnaient pas le détail de postes de facturation importants tels notamment les sommations et les TAFo.</w:t>
      </w:r>
    </w:p>
    <w:p>
      <w:r>
        <w:t>Par conséquent, force est de constater que le recourant a manqué à son obligation de diligence et d'information envers son client.</w:t>
      </w:r>
    </w:p>
    <w:p>
      <w:r>
        <w:t>Dès lors, la commission a, à juste titre, retenu que le recourant a failli à ses obligations professionnelles et, en particulier, violé les art. 12 let. a et i LLCA. 7)</w:t>
      </w:r>
    </w:p>
    <w:p>
      <w:r>
        <w:t>Reste à examiner la proportionnalité de la sanction prononcée par la commission.</w:t>
      </w:r>
    </w:p>
    <w:p>
      <w:r>
        <w:t>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w:t>
      </w:r>
    </w:p>
    <w:p>
      <w:r>
        <w:t>L'avertissement, le blâme et l'amende sont radiés du registre cinq ans après leur prononcé (art. 20 al. 1 LLCA). L'avertissement est la sanction prévue la moins grave et est réservée aux cas bénins. L'amende fait partie des mesures disciplinaires d'importance moyenne et sanctionne en principe les manquements professionnels plus graves que le blâme. Elle présente un caractère plus répressif que l'avertissement et le blâme, en particulier lorsque son montant est élevé (Alain BAUER/Philippe BAUER in Michel VALTICOS/Christian REISER/ Benoît CHAPPUIS, op. cit., n. 63 à 65 ad art. 17 LLCA ; ATA/258/2021 précité consid. 9a).</w:t>
      </w:r>
    </w:p>
    <w:p>
      <w:r>
        <w:t>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w:t>
      </w:r>
    </w:p>
    <w:p>
      <w:r>
        <w:t>- 18/20 - A/3681/2021 Philippe BAUER, in Michel VALTICOS/Christian REISER/Benoît CHAPPUIS, op. cit., n. 11 ad art. 17 LLCA).</w:t>
      </w:r>
    </w:p>
    <w:p>
      <w:r>
        <w:t>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(ATA/519/2021 du 18 mai 2021 consid. 6c ; ATA/152/2018 du</w:t>
      </w:r>
    </w:p>
    <w:p>
      <w:r>
        <w:rPr>
          <w:b/>
        </w:rPr>
        <w:t>E. 20</w:t>
      </w:r>
    </w:p>
    <w:p>
      <w:r>
        <w:t>février 2018 et les références citées).</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in Michel VALTICOS/Christian REISER/ Benoît CHAPPUIS, op. cit., n. 25 ad art. 17 LLCA).</w:t>
      </w:r>
    </w:p>
    <w:p>
      <w:r>
        <w:t>d. En l'espèce, la nécessité du prononcé d'une sanction et la proportionnalité de celle-ci sont acquises. Ni l'avertissement, ni le blâme qui sont des sanctions poursuivant un but essentiellement préventif ne trouvent application. En effet, la faute du recourant est lourde, puisqu'il a violé gravement les principes régissant la profession en causant un dommage important à un établissement de droit public alors que son rôle d'avocat lui dictait de défendre les intérêts de son client. Il a agi par appât du gain, soit un mobile égoïste et tiré un bénéfice économique très important. Il a gravement violé ses obligations envers son client pendant une longue période. Dans ces circonstances, une sanction à caractère répressif telle que l'amende était justifiée.</w:t>
      </w:r>
    </w:p>
    <w:p>
      <w:r>
        <w:t>L'autorité intimée a par ailleurs estimé qu'une interdiction temporaire ou définitive de pratiquer sur la base des faits reprochés au recourant pouvait également entrer en considération. Elle a cependant renoncé à cette mesure en retenant, au vu des circonstances personnelles du recourant et des exigences légales, qu'il était peu vraisemblable qu'il requière sa réinscription au registre.</w:t>
      </w:r>
    </w:p>
    <w:p>
      <w:r>
        <w:t>Pour ces motifs, la commission n'a pas excédé ni abusé de son pouvoir d'appréciation en infligeant une amende de CHF 20'000.- au recourant. En choisissant le montant maximum de l'amende, la commission a tenu compte de la longue durée pendant laquelle le recourant a agi et de l'importance du montant qu'il a encaissé.</w:t>
      </w:r>
    </w:p>
    <w:p>
      <w:r>
        <w:t>Au vu de ce qui précède, le recours sera rejeté.</w:t>
      </w:r>
    </w:p>
    <w:p>
      <w:r>
        <w:t>- 19/20 - A/3681/2021 8)</w:t>
      </w:r>
    </w:p>
    <w:p>
      <w:r>
        <w:t>Vu l'issue du litige, un émolument de CHF 1'500.-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