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ATA/831/2020 vom 1. September 2020</w:t>
      </w:r>
    </w:p>
    <w:p>
      <w:r>
        <w:t>GE Cour de justice, 2020-09-01, FR</w:t>
      </w:r>
    </w:p>
    <w:p>
      <w:r>
        <w:rPr>
          <w:b/>
        </w:rPr>
        <w:t xml:space="preserve">Quelle: </w:t>
      </w:r>
      <w:r>
        <w:t>https://mcp.opencaselaw.ch/entscheid/ge_gerichte_ATA_831_2020</w:t>
      </w:r>
    </w:p>
    <w:p>
      <w:r>
        <w:t>FR: GE_GERICHTE ATA/831/2020 du 1 septembre 2020</w:t>
      </w:r>
    </w:p>
    <w:p>
      <w:r>
        <w:t>IT: GE_GERICHTE ATA/831/2020 del 1 settembre 2020</w:t>
      </w:r>
    </w:p>
    <w:p>
      <w:pPr>
        <w:pStyle w:val="Heading2"/>
      </w:pPr>
      <w:r>
        <w:t>Regeste</w:t>
      </w:r>
    </w:p>
    <w:p>
      <w:r>
        <w:t>Résumé: Admission partielle du recours pour déni de justice interjeté contre l’absence de décision prise par la Cour des comptes, laquelle est tenue de statuer en application de l’art. 47 LIPAD, malgré l’absence de pouvoir décisionnel et même si elle n’est ni une autorité administrative, ni une autorité judiciaire.</w:t>
      </w:r>
    </w:p>
    <w:p>
      <w:pPr>
        <w:pStyle w:val="Heading2"/>
      </w:pPr>
      <w:r>
        <w:t>Erwägungen</w:t>
      </w:r>
    </w:p>
    <w:p>
      <w:r>
        <w:rPr>
          <w:b/>
        </w:rPr>
        <w:t>E. 26</w:t>
      </w:r>
    </w:p>
    <w:p>
      <w:r>
        <w:t>septembre 2010 - LOJ - E 2 05). Sauf exceptions prévues par la loi ou lorsque le droit fédéral ou une loi cantonale prévoit une autre voie de recours (art. 132 al. 8 LOJ), elle statue sur les recours formés contre les décisions au sens des art. 4, 4A, 5, 6 al. 1 let. a et e et 57 de la loi sur la procédure administrative du 12 septembre 1985 (LPA - E 5 10 ; art. 132 al. 2 LOJ) rendues par les autorités et juridictions administratives mentionnées aux art. 5 et 6 LPA.</w:t>
      </w:r>
    </w:p>
    <w:p>
      <w:r>
        <w:t>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w:t>
      </w:r>
    </w:p>
    <w:p>
      <w:r>
        <w:t>c. Une partie peut recourir en tout temps pour déni de justice si l’autorité concernée ne donne pas suite rapidement à la mise en demeure prévue à l’art. 4 al. 4 LPA (art. 62 al. 6 LPA). Pour déterminer si l’autorité a commis un déni de justice, il convient préalablement d’examiner si elle avait l’obligation de rendre une décision (ATA/7/2020 du 7 janvier 2020 consid. 3b), cette question étant dépendante de l’examen du fond du litige.</w:t>
      </w:r>
    </w:p>
    <w:p>
      <w:r>
        <w:t>d.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(ATA/373/2020 du 16 avril 2020 consid. 5b et les références citées).</w:t>
      </w:r>
    </w:p>
    <w:p>
      <w:r>
        <w:t>- 9/12 - A/1015/2020 3)</w:t>
      </w:r>
    </w:p>
    <w:p>
      <w:r>
        <w:t>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4)</w:t>
      </w:r>
    </w:p>
    <w:p>
      <w:r>
        <w:t>La LIPAD régit l’information relative aux activités des institutions et la protection des données personnelles (art. 1 al. 1 LIPAD). Toute personne, physique ou morale, a accès aux documents en possession des institutions publiques, sauf exception prévue ou réservée par cette loi (art. 24 al. 1 LIPAD). Ces documents sont tous les supports d’informations détenus par une institution contenant des renseignements relatifs à l’accomplissement d’une tâche publique (art. 25 al. 1 LIPAD). Outre ce droit d’accès général garanti au titre II de la LIPAD qui concerne l’information du public et l’accès aux documents, le titre III de la même loi (art. 35-49 LIPAD) a trait à la protection des données personnelles. Selon l’art. 4 let. a LIPAD, sont des données personnelles (ou données), toutes les informations se rapportant à une personne physique ou morale de droit privé, identifiée ou identifiable. Les art. 35 à 43 LIPAD concernent le traitement, la communication et la destruction des données par les institutions publiques. Les art. 44 à 47 LIPAD précisent les droits de la personne concernée. Selon l’art. 44 LIPAD, toute personne peut demander par écrit si des données la concernant sont traitées (al. 1). Le responsable doit lui communiquer notamment toutes les données la concernant contenues dans un fichier, y compris les informations disponibles sur l’origine des données (al. 2 let. a), moyennant un émolument préalable si cela nécessite un travail disproportionné (al. 3). Selon l’art. 46 LIPAD, l’accès ne peut être refusé que si un intérêt public ou privé le</w:t>
      </w:r>
    </w:p>
    <w:p>
      <w:r>
        <w:t>- 10/12 - A/1015/2020 justifie, notamment lorsque cela rendrait inopérantes les restrictions au droit d’accès à des dossiers qu’apportent les lois régissant les procédures judiciaires et administratives (al. 1 let. a). Un accès partiel ou différé doit être préféré à un refus dans la mesure où l’intérêt public ou privé opposé reste sauvegardé (al. 2). L’art. 47 LIPAD énumère l’ensemble des prétentions que la personne concernée peut élever à propos des données la concernant. 5)</w:t>
      </w:r>
    </w:p>
    <w:p>
      <w:r>
        <w:t>Le Tribunal fédéral a jugé qu’une éventuelle atteinte à la réputation et à l’honneur d’un justiciable protégés par le droit au respect de la vie privée au sens de l’art. 13 al. 1 Cst. ne pouvait donner lieu à une exception à la garantie d’accès à la justice mais se prêtait au contrôle du juge, l’intéressé disposant d’un droit à la rectification des données le concernant si elles étaient fausses. L’acte par lequel la CdC se refusait à un tel examen devait être attaquable, indépendamment de la nature de l’institution en cause, de sorte qu’une voie de recours judiciaire devait être ouverte à cet effet (arrêt du Tribunal fédéral 1C_471/2012 du 23 mai 2013 consid. 4.1.2). Il a en particulier considéré que la procédure offerte par la LIPAD, fondée sur l’art. 47 de cette loi, permettait de satisfaire à l’exigence de l’art. 29a Cst. (arrêt du Tribunal fédéral 1C_471/2012 du 23 mai 2013 consid. 4.3). 6)</w:t>
      </w:r>
    </w:p>
    <w:p>
      <w:r>
        <w:t>En l’espèce, il ressort de la jurisprudence fédérale précitée que le droit d’accès au juge permet à un justiciable de demander la rectification de données le concernant au sens de l’art. 47 LIPAD, indépendamment de l’autorité en cause. Ainsi, bien que la CdC ne soit en principe pas une autorité décisionnaire ni ne soit mentionnée dans la liste exhaustive des autorités administratives et judiciaires visées par les art. 5 et 6 LPA (arrêt du Tribunal fédéral 1C_471/2012 du 23 mai 2013 consid. 3.4), elle est néanmoins tenue de statuer en application de la LIPAD, laquelle est complémentaire à la loi sur la responsabilité de l’État et des communes du 24 février 1989 (LREC - A 2 40 ; arrêt du Tribunal fédéral 1C_471/2012 du 23 mai 2013 consid. 4.3), les recourants ne faisant valoir aucune prétention en réparation du dommage selon les dispositions de la LREC. La procédure prévue par la LIPAD a au surplus été respectée, ce qui n’est du reste pas contesté, puisque les recourants ont présenté une telle demande à l’intimée avant de requérir le concours du préposé, lequel a rendu une « recommandation » tant s’agissant du volet relatif au droit d’accès qu’à celui lié à la rectification des données personnelles. L’intimée devait alors statuer dans les dix jours par voie de décision sur les prétentions des recourants (art. 49 al. 6 LIPAD).</w:t>
      </w:r>
    </w:p>
    <w:p>
      <w:r>
        <w:t>Si la question d’un intérêt digne de protection peut souffrir de rester indécise s’agissant de la commune, cette condition est réalisée pour les personnes physiques recourantes qui ont participé à la procédure non contentieuse et, même si elles ne sont pas nommées par le rapport, sont aisément identifiables par ce dernier au regard de leur fonction de membres du Conseil administratif au moment de l’audit. Dans ce cadre, les recourants ne sauraient toutefois faire valoir</w:t>
      </w:r>
    </w:p>
    <w:p>
      <w:r>
        <w:t>- 11/12 - A/1015/2020 un besoin d’information supplémentaire en lien avec le premier but de la LIPAD au sens de l’art. 1 al. 2 let. a de cette loi qui a trait à l’information du public et l’accès aux documents, dont la réalisation pourra être satisfaite par le droit d’accès aux données les concernant et en lien avec les prétentions découlant de l’art. 47 LIPAD.</w:t>
      </w:r>
    </w:p>
    <w:p>
      <w:r>
        <w:t>Il s’ensuit qu’en ne statuant pas sur leur demande en application de l’art. 47 LIPAD, l’intimée a commis un déni de justice.</w:t>
      </w:r>
    </w:p>
    <w:p>
      <w:r>
        <w:t>Le recours sera par conséquent partiellement admis s’agissant de la rectification des données au sens de l’art. 47 LIPAD et le dossier renvoyé à l’intimée pour qu’elle rende une décision dans ce sens (art. 69 al. 4 LPA ; ATA/595/2017 du 23 mai 2017 consid. 6c). 7)</w:t>
      </w:r>
    </w:p>
    <w:p>
      <w:r>
        <w:t>Vu l’issue du litige, un émolument réduit de CHF 500.- sera mis à la charge conjointe et solidaire des recourants, qui succombent en partie (art. 87 al. 1 LPA), et une indemnité de procédure de CHF 1'500.- leur sera allouée, à la charge de la Cour des comptes (art. 87 al. 2 LPA). Aucune indemnité de procédure ne sera allouée aux intimés, réputés être en mesure de se défendre eux-mêmes (ATA/414/2012 du 3 juillet 2012), pas plus qu’à la commune, qui est à même de disposer de son propre service juridique (ATA/759/2020 du 18 août 2020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