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ATA/82/2017 vom 31. Januar 2017</w:t>
      </w:r>
    </w:p>
    <w:p>
      <w:r>
        <w:t>GE Cour de justice, 2017-01-31, FR</w:t>
      </w:r>
    </w:p>
    <w:p>
      <w:r>
        <w:rPr>
          <w:b/>
        </w:rPr>
        <w:t xml:space="preserve">Quelle: </w:t>
      </w:r>
      <w:r>
        <w:t>https://mcp.opencaselaw.ch/entscheid/ge_gerichte_ATA_82_2017</w:t>
      </w:r>
    </w:p>
    <w:p>
      <w:r>
        <w:t>FR: GE_GERICHTE ATA/82/2017 du 31 janvier 2017</w:t>
      </w:r>
    </w:p>
    <w:p>
      <w:r>
        <w:t>IT: GE_GERICHTE ATA/82/2017 del 31 gennaio 2017</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t>- 3/5 - A/72/2017</w:t>
      </w:r>
    </w:p>
    <w:p>
      <w:r>
        <w:rPr>
          <w:b/>
        </w:rPr>
        <w:t>E. 2</w:t>
      </w:r>
    </w:p>
    <w:p>
      <w:r>
        <w:t>La chambre de céans examine d'office et librement la recevabilité des recours qui lui sont soumis (ATA/1059/2015 du 6 octobre 2015 consid. 2 et les références citées).</w:t>
      </w:r>
    </w:p>
    <w:p>
      <w:r>
        <w:rPr>
          <w:b/>
        </w:rPr>
        <w:t>E. 3</w:t>
      </w:r>
    </w:p>
    <w:p>
      <w:r>
        <w:t>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ATA/77/2009 du 17 février 2009 ; ATA/208/2005 du 12 avril 2005 ; Raphaël MAHLER, Réflexions sur la qualité pour recourir en droit administratif genevois, in RDAF 1982, pp. 272 ss, not. 274).</w:t>
      </w:r>
    </w:p>
    <w:p>
      <w:r>
        <w:t>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(ATA/1059/2015 du 6 octobre 2015 consid. 3b et les nombreux arrêts cités).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rPr>
          <w:b/>
        </w:rPr>
        <w:t>E. 4</w:t>
      </w:r>
    </w:p>
    <w:p>
      <w:r>
        <w:t>a. De jurisprudence constante, le dénonciateur n’a pas la qualité de partie dans une procédure disciplinaire engagée à l’encontre de personnes exerçant une profession réglementée, à l’instar des médecins ou des avocats (ATA/300/2016 du 12 avril 2016 consid. 6 ; ATA/1059/2015 précité et les références citées).</w:t>
      </w:r>
    </w:p>
    <w:p>
      <w:r>
        <w:t>b.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(ATA/1059/2015 précité consid. 4b et les arrêts cités). Le dénonciateur ne saurait exiger que l’autorité entre en matière, respecte à son égard le droit d’être entendu ou lui notifie la décision qu’elle prendra (ATA/383/2011 du 21 juin</w:t>
      </w:r>
    </w:p>
    <w:p>
      <w:r>
        <w:t>- 4/5 - A/72/2017 2011 consid. 3a). S’il est informé de l’issue de celle-ci, il n’a pas automatiquement connaissance des considérants de la décision prise par la commission (art. 48 de la loi sur la profession d’avocat du 26 avril 2002 - LPAv - E 6 10).</w:t>
      </w:r>
    </w:p>
    <w:p>
      <w:r>
        <w:t>c. Celui qui introduit une procédure disciplinaire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(ATA/383/2011 précité consid. 3c et les références citées).</w:t>
      </w:r>
    </w:p>
    <w:p>
      <w:r>
        <w:t>Par conséquent, le refus de donner suite à une dénonciation ne peut faire l’objet d’aucun recours, puisque le dénonciateur n’agit dans ce cadre que comme auxiliaire de l’autorité en déclenchant la procédure (ATF 135 II 145 consid. 6.1 p. 151 ; 133 II 468 consid. 2 p. 471 ; 132 II 250 consid. 4.2 p. 254 ; ATA/383/2011 précité consid. 3c et les arrêts cités).</w:t>
      </w:r>
    </w:p>
    <w:p>
      <w:r>
        <w:rPr>
          <w:b/>
        </w:rPr>
        <w:t>E. 5</w:t>
      </w:r>
    </w:p>
    <w:p>
      <w:r>
        <w:t>En l’espèce, le recourant, vis-à-vis de la commission, se trouve dans la position de dénonciateur. Il conteste la décision de la commission et sa démarche vise à faire sanctionner l’avocate sur le plan disciplinaire, ses autres conclusions en production d’une documentation sortant du cadre des compétences de ladite commission.</w:t>
      </w:r>
    </w:p>
    <w:p>
      <w:r>
        <w:t>Au regard des dispositions légales et des principes jurisprudentiels rappelés ci-dessus, son recours est irrecevable, le caractère manifeste de cette irrecevabilité conduisant la chambre administrative à juger sans qu’il y ait lieu d’ouvrir une instruction (art. 72 LPA).</w:t>
      </w:r>
    </w:p>
    <w:p>
      <w:r>
        <w:rPr>
          <w:b/>
        </w:rPr>
        <w:t>E. 6</w:t>
      </w:r>
    </w:p>
    <w:p>
      <w:r>
        <w:t>Malgré l’issue de la procédure, la chambre administrative renoncera à prélever un émolument de procédure en application de l’art.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