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ATA/829/2021 vom 10. August 2021</w:t>
      </w:r>
    </w:p>
    <w:p>
      <w:r>
        <w:t>GE Cour de justice, 2021-08-10, FR</w:t>
      </w:r>
    </w:p>
    <w:p>
      <w:r>
        <w:rPr>
          <w:b/>
        </w:rPr>
        <w:t xml:space="preserve">Quelle: </w:t>
      </w:r>
      <w:r>
        <w:t>https://mcp.opencaselaw.ch/entscheid/ge_gerichte_ATA_829_2021</w:t>
      </w:r>
    </w:p>
    <w:p>
      <w:r>
        <w:t>FR: GE_GERICHTE ATA/829/2021 du 10 août 2021</w:t>
      </w:r>
    </w:p>
    <w:p>
      <w:r>
        <w:t>IT: GE_GERICHTE ATA/829/2021 del 10 agosto 2021</w:t>
      </w:r>
    </w:p>
    <w:p>
      <w:pPr>
        <w:pStyle w:val="Heading2"/>
      </w:pPr>
      <w:r>
        <w:t>Erwägungen</w:t>
      </w:r>
    </w:p>
    <w:p>
      <w:r>
        <w:rPr>
          <w:b/>
        </w:rPr>
        <w:t>E. 10</w:t>
      </w:r>
    </w:p>
    <w:p>
      <w:r>
        <w:t>décembre 1907 (CC - RS 210). Selon l’information fiscale AFC-GE n° 1/2011 ch. 2 1.1.2, les versements à un fonds de rénovation d’une PPE étaient déductibles dans la mesure où ils découlaient d’une obligation légale incombant au copropriétaire et que ce dernier ne pouvait pas disposer librement des montants versés de manière irrévocable, ceux-ci étant en principe destinés aux rénovations.</w:t>
      </w:r>
    </w:p>
    <w:p>
      <w:r>
        <w:t>Pour tous ces motifs, la SI A______ SA concluait à l’annulation du jugement et des décisions sur réclamation et à ce que la déductibilité de l’intégralité de la provision OCLPF pour la période fiscale 2018 lui soit accordée. 15) Par réponse du 18 décembre 2020, l’AFC-GE a conclu au rejet du recours. Aucun argument nouveau pertinent susceptible d’influer le sort du litige n’avait été avancé par la recourante, à part l’analogie qu’elle essayait de faire entre la provision OCLPF et la mécanique du fonds de rénovation PPE. Cette analogie n’était pas convaincante, les situations visées n’étant pas comparables. En effet, l’information n° 1/2011 ne concernait que les immeubles privés et ne pouvait pas s’appliquer dans le cas d’espèce concernant des immeubles détenus par une SI. La recourante ne pouvait pas simultanément se référer au principe de déterminance pour ensuite prétendre que cette provision constituerait en fait un versement à un fonds de rénovation PPE. Par ailleurs, il était incontestable qu’aucun versement n’avait été effectué car il n’avait pas été comptabilisé en tant qu’actif transitoire (charge payée d’avance). Le fait que cette réserve ait été imposée par une autre loi ne saurait entraîner automatiquement l’admission d’une déduction sur le plan fiscal. La recourante n’avait pas allégué que le risque de perte d’avantage économique fut réel, concret et imminent comme exigé par la jurisprudence du Tribunal fédéral. 16) Dans sa réplique du 12 février 2021, la recourante a persisté dans ses conclusions. On ne pouvait pas se limiter à une interprétation strictement littérale du texte de la LGL pour interpréter l’expression de « réserve » utilisée à l’art. 42a al. 1 de cette loi mais il fallait se baser sur l’interprétation téléologique. En effet, la règle visait à protéger les locataires de biens immobiliers soumis à un régime de contrôle de l’absence de rénovation et d’entretien de la part des propriétaires pour la période de vingt-cinq ans. Pour ce motif, le propriétaire était obligé de constituer une réserve pour les frais d’entretien qui devaient se réaliser durant cette période et la bloquer sur un compte distinct. Si le propriétaire n’effectuait pas l’entretien du bien immobilier au détriment de l’intérêt des locataires, l’office du logement pouvait alors utiliser ces fonds pour financer les travaux d’entretien à la charge du propriétaire.</w:t>
      </w:r>
    </w:p>
    <w:p>
      <w:r>
        <w:t>La protection de l’intérêt des locataires perdait son sens si la notion de réserve devait être comprise comme attribution de bénéfice réalisé par le propriétaire et non comme provision au sens des art. 959 al. 2 ch. 2 let. c et 960e al. 2 CO. En effet, cette réserve devait être bloquée indépendamment de la réalisation de bénéfices comptables. La chambre administrative et le Tribunal</w:t>
      </w:r>
    </w:p>
    <w:p>
      <w:r>
        <w:t>- 8/16 - A/707/2020 fédéral avaient par ailleurs reconnu que la notion de réserve devait être interprétée et n’était pas une notion définie. La réserve devait permettre le financement de travaux liés à l’usure et au vieillissement de l’immeuble. Dès lors, l’expression de « réserve » des art. 42 LGL et 3 al. 4 RGL correspondait à l’obligation légale du propriétaire de provisionner les montants nécessaires à l’entretien de l’immeuble durant la période de contrôle.</w:t>
      </w:r>
    </w:p>
    <w:p>
      <w:r>
        <w:t>De plus, en droit comptable, la provision était obligatoire lorsqu’elle résultait de l’application de règles de droit. Il fallait distinguer l’obligation légale de constituer une provision (art. 960e al. 2 CO) de la possibilité pour l’entreprise de constituer une provision lorsqu’elle le jugeait nécessaire (art. 960e al. 3 CO). Dès lors, le propriétaire d’un immeuble soumis au régime de contrôle était légalement tenu de constituer une provision OCLPF de sorte que le propriétaire était obligé de payer d’avance les frais d’entretien de l’immeuble à venir. Seul le moment exact de la réalisation de ces travaux durant la période de contrôle était incertain.</w:t>
      </w:r>
    </w:p>
    <w:p>
      <w:r>
        <w:t>Ces provisions prescrites par le droit commercial (art. 669 al. 1 CO) étaient en tous les cas justifiées par l’usage commercial pour autant qu’elles répondaient aux exigences de l’économie d’entreprise. Selon la règle établie par le Tribunal fédéral, les règles correctrices fiscales prévues aux art. 63 de la loi fédérale sur l’impôt fédéral direct du 14 décembre 1990 (LIFD - RS 642.11) et 16B de la loi sur l’imposition des personnes morales du 23 septembre 1994 (LIPM - D 3 15) ne pouvaient remettre en question une provision qui devait être enregistrée selon les règles du droit comptable mais visaient plutôt à remettre en question les provisions qui pouvaient être enregistrées selon le bon vouloir de l’entreprise et qui n’étaient plus justifiées.</w:t>
      </w:r>
    </w:p>
    <w:p>
      <w:r>
        <w:t>Par ailleurs, si la provision devait obligatoirement être enregistrée selon le droit comptable, selon le principe de l’autorité de bilan, le fardeau de la preuve incombait à l’autorité intimée. Sur le plan fiscal, la déduction à la suite de l’enregistrement de la provision OCLPF ne faisait que décaler le prélèvement de l’impôt car à la suite de la réalisation des travaux d’entretien, cette provision serait progressivement dissoute et compenserait les charges qui auraient été fiscalement déductibles. 17) L’intimée n’a pas déposé de duplique dans le délai imparti mais a persisté dans ses conclusions. 18) Par écriture spontanée du 25 mars 2021, la recourante a encore rappelé l’existence d’un arrêt récent du Tribunal fédéral (2C_712/2020) confirmant un arrêt de la chambre de céans du 4 août 2020 (ATA/726/2020). Selon son interprétation, toute provision exigée par l’art. 960e al. 2 CO était justifiée commercialement et devait être reconnue fiscalement. Par ailleurs, dans les cas d’espèce cités, ni la chambre administrative ni le Tribunal fédéral n’avaient</w:t>
      </w:r>
    </w:p>
    <w:p>
      <w:r>
        <w:t>- 9/16 - A/707/2020 reconnu la provision car elle n’était pas fondée sur l’art. 960e al. 2 CO, contrairement au cas d’espèce. 19) Le 7 avril 2021, les parties ont été informées que la cause avait été gardée à juger. EN DROIT 1)</w:t>
      </w:r>
    </w:p>
    <w:p>
      <w:r>
        <w:t>Interjeté en temps utile devant la juridiction compétente, le recours est recevable (art. 132 de la loi sur l'organisation judiciaire du 26 septembre 2010 - LOJ - E 2 05 ; art. 7 al. 2 de la loi de procédure fiscale du 4 octobre 2001 - LPFisc - D 3 17 ; art. 145 LIFD ; art. 62 al. 1 let. a de la loi sur la procédure administrative du 12 septembre 1985 - LPA - E 5 10). 2)</w:t>
      </w:r>
    </w:p>
    <w:p>
      <w:r>
        <w:t>Est litigieuse la question de la reprise de la provision de CHF 245'338.- comptabilisée pour l’année 2018 à titre de « provision à long terme pour travaux d’entretien » par SI A______ SA pour l’année fiscale 2018. 3) a. Les questions de droit matériel sont résolues en fonction du droit en vigueur lors des périodes fiscales litigieuses (ATA/191/2020 du 18 février 2020 consid. 4b ; ATA/379/2018 du 24 avril 2018 et les références citées).</w:t>
      </w:r>
    </w:p>
    <w:p>
      <w:r>
        <w:t>b. En l’espèce, le litige porte sur la taxation 2018 tant en matière d’ICC que d’IFD. La cause est ainsi régie par le droit en vigueur durant ces périodes, à savoir, s'agissant de l'IFD, par les dispositions de la LIFD et, pour ce qui est de l'ICC, par celles de la LIPM.</w:t>
      </w:r>
    </w:p>
    <w:p>
      <w:r>
        <w:t>c. La question étant traitée de manière semblable en droit fédéral et en droit cantonal, le présent arrêt traite simultanément des deux impôts, comme cela est admis par la jurisprudence (ATF 135 II 260 consid. 1.3.1). 4)</w:t>
      </w:r>
    </w:p>
    <w:p>
      <w:r>
        <w:t>Selon l’art. 63 LIFD, les provisions peuvent être constituées à la charge du compte de résultat pour : a. les engagements de l’exercice dont le montant est encore indéterminé ; b. les risques de perte sur les actifs circulants, notamment sur les marchandises et les débiteurs ; c. les autres risques de perte imminente durant l’exercice ; d. les futurs mandats de recherche et développement confiés à des tiers, jusqu’à 10 % au plus du bénéfice imposable mais au total jusqu’à CHF 1'000'000.- au maximum. Selon l’al. 2 du même article, les provisions qui ne se justifient plus sont à ajouter au bénéfice imposable.</w:t>
      </w:r>
    </w:p>
    <w:p>
      <w:r>
        <w:t>En droit cantonal, l’art. 16B LIPM est le pendant de l’art. 63 al. 1 let. a à c et al. 2 LIFD qu’il reprend mot par mot.</w:t>
      </w:r>
    </w:p>
    <w:p>
      <w:r>
        <w:t>- 10/16 - A/707/2020 5)</w:t>
      </w:r>
    </w:p>
    <w:p>
      <w:r>
        <w:t>L'admissibilité d'une provision au plan fiscal suppose qu'elle soit justifiée par l'usage commercial et qu'elle ait été dûment comptabilisée (arrêt du Tribunal fédéral 2C_455/2017 du 17 septembre 2018 consid. 6.3).</w:t>
      </w:r>
    </w:p>
    <w:p>
      <w:r>
        <w:t>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w:t>
      </w:r>
    </w:p>
    <w:p>
      <w:r>
        <w:t>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w:t>
      </w:r>
    </w:p>
    <w:p>
      <w:r>
        <w:t>Le droit fiscal ne permet pas la constitution par le biais de provisions de réserves latentes, pourtant tolérées en droit commercial (ATF 103 Ib 366 ; Robert DANON, in Yves NOËL/Florence AUBRY GIRARDIN, Commentaire romand de la loi sur l'impôt fédéral direct, 2ème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précité consid. 3.1 et les arrêts cités). Le droit fiscal n'admet ainsi pas la diminution artificielle du bénéfice par le biais de provisions injustifiées (arrêt du Tribunal fédéral 2C_1101/2014 du 23 novembre 2015 consid. 3).</w:t>
      </w:r>
    </w:p>
    <w:p>
      <w:r>
        <w:t>Les provisions pour les engagements de l'exercice au sens de l'art. 63 al. 1 let. a LIFD doivent reposer sur un contrat ou sur une loi. Cela comprend les engagements conditionnels, pour autant que la réalisation de la condition soit très vraisemblable (arrêt du Tribunal fédéral 2C_581/2010 précité consid. 3.1). Cette catégorie de provisions contient celles pour garanties et pour dommages-intérêts (Message sur l'harmonisation fiscale, FF 1983 III, p. 177 ; Robert DANON, op.cit. ad art. 63 n. 19) ainsi que les provisions pour litige ou constituées pour des affaires en cours (Robert DANON, op.cit. ad art. 63 n. 19 et 20).</w:t>
      </w:r>
    </w:p>
    <w:p>
      <w:r>
        <w:t>- 11/16 - A/707/2020</w:t>
      </w:r>
    </w:p>
    <w:p>
      <w:r>
        <w:t>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w:t>
      </w:r>
    </w:p>
    <w:p>
      <w:r>
        <w:rPr>
          <w:b/>
        </w:rPr>
        <w:t>E. 12</w:t>
      </w:r>
    </w:p>
    <w:p>
      <w:r>
        <w:t>octobre 2012 consid. 2.2) ;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du 23 août 2009 consid. 2.1 et les références citées ; ATA/223/2020 du 25 février 2020 consid. 4c).</w:t>
      </w:r>
    </w:p>
    <w:p>
      <w:r>
        <w:t>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Impôt fédéral direct, Commentaire de la loi sur l’impôt fédéral direct, 2008, n. 41 et 67 ad art. 58 LIFD).</w:t>
      </w:r>
    </w:p>
    <w:p>
      <w:r>
        <w:t>S'agissant des déductions autorisées par la loi, leur caractère d'exception à l'impôt doit entraîner une interprétation restrictive de leur nature et de leur étendue (ATA/858/2018 du 21 août 2018 ; ATA/958/2014 du 2 décembre 2014 et les références citées). 6)</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w:t>
      </w:r>
    </w:p>
    <w:p>
      <w:r>
        <w:t>Les comptes établis conformément aux règles du droit commercial lient les autorités fiscales, à moins que le droit fiscal ne prévoie de règles correctrices spécifiques. L’autorité peut en revanche s’écarter du bilan remis par le</w:t>
      </w:r>
    </w:p>
    <w:p>
      <w:r>
        <w:t>- 12/16 - A/707/2020 contribuable lorsque des dispositions impératives du droit commercial sont violées ou des normes fiscales correctrices l’exigent (ATF 137 II 353 consid. 6.2 ; 136 II 88 consid. 3.1 ; 119 Ib 111 consid. 2c ; arrêt du Tribunal fédéral 2C_645/2012 du 13 février 2013 consid. 3.1). 7)</w:t>
      </w:r>
    </w:p>
    <w:p>
      <w:r>
        <w:t>Les art. 959 ss CO traitent des comptes annuels et de la tenue du bilan. Notamment l’art. 960 traite de l’évaluation des actifs et des dettes. L’art. 960e traite des dettes qui doivent être comptabilisées à leur valeur nominale (al. 1). Lorsque, en raison d’événements passés, il faut s’attendre à une perte d’avantages économiques pour l’entreprise lors d’exercices futurs, il y a lieu de constituer des provisions à charge du compte de résultat, à hauteur du montant vraisemblablement nécessaire (al. 2). En outre, des provisions peuvent être constituées notamment aux titres suivants : 1. charges régulières découlant des obligations de garantie ; 2. remise en état des immobilisations corporelles ; 3. restructuration ; 4. mesures prises pour assurer la prospérité de l’entreprise à long terme (ch. 3). De plus, les provisions qui ne se justifient plus ne doivent pas obligatoirement être dissoutes (ch. 4). 8) a.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w:t>
      </w:r>
    </w:p>
    <w:p>
      <w:r>
        <w:t>Le droit genevois de procédure administrative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w:t>
      </w:r>
    </w:p>
    <w:p>
      <w:r>
        <w:t>- 13/16 - A/707/2020</w:t>
      </w:r>
    </w:p>
    <w:p>
      <w:r>
        <w:t>b. En matière fiscale plus spécifiquement,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ATA/1197/2018 du 6 novembre 2018 consid. 3a ; ATA/809/2015 du 11 août 2015 consid. 6d). Ces règles s’appliquent également à la procédure devant les autorités de recours en matière fiscale (arrêts du Tribunal fédéral 2C_986/2013 du</w:t>
      </w:r>
    </w:p>
    <w:p>
      <w:r>
        <w:rPr>
          <w:b/>
        </w:rPr>
        <w:t>E. 15</w:t>
      </w:r>
    </w:p>
    <w:p>
      <w:r>
        <w:t>septembre 2014 consid. 5.1.4 ; 2C_47/2009 du 26 mai 2009 consid. 5.4). 9)</w:t>
      </w:r>
    </w:p>
    <w:p>
      <w:r>
        <w:t>Le RGL fixe les conditions relatives aux immeubles qui font l’objet de la LGL, soit ceux destinés à des logements d’utilité publique. Concernant l’entretien de ces immeubles, l’art. 3 ch. 4 du règlement prévoit que le propriétaire doit constituer des réserves pour travaux d’entretien et les déposer en banque sur un compte spécial. Il doit pouvoir en tout temps justifier l’utilisation des réserves qui restent attachées à l’immeuble en cas de transfert de celui-ci. La constitution de ces réserves a lieu après la clôture des comptes et n’engendre pas une charge grevant le bénéfice de l’exercice (Jean-Pierre CHARDONNENS, Comptabilité générale, 212 p. 171). 10) En l’espèce, la recourante a ouvert un compte spécial afin d’y déposer la somme de CHF 245'338.-. Cette somme a été comptabilisée comme « provision à long terme pour travaux d’entretien » et résultait d’une obligation selon le chiffre 7 de l’arrêté départemental du 1er octobre 2018 par lequel le département du territoire accordait à la SI A______ SA une exonération fiscale de l’impôt immobilier complémentaire, un taux d’imposition réduit ainsi que des subventions personnalisées aux locataires pour des immeubles sis à C______, ainsi qu’un contrat de prêt hypothécaire en premier rang accordé par la E______ à la recourante le 15 février 2017. L’administration fiscale a repris cette provision car non conforme à l’usage commercial et l’a assimilée à une provision pour grands travaux d’entretien selon l’information n° 1/2018, l’ancienne pratique selon l’instruction n° 125 n’étant plus en vigueur.</w:t>
      </w:r>
    </w:p>
    <w:p>
      <w:r>
        <w:t>Cette circulaire est entrée immédiatement en vigueur à la date du</w:t>
      </w:r>
    </w:p>
    <w:p>
      <w:r>
        <w:rPr>
          <w:b/>
        </w:rPr>
        <w:t>E. 17</w:t>
      </w:r>
    </w:p>
    <w:p>
      <w:r>
        <w:t>septembre 2018 constituées forfaitairement sur la base de l’ancienne pratique devaient être soit utilisées soit dissoutes sur le plan comptable au plus tard à la fin de la période fiscale 2019. 11) Il en découle pour le cas d’espèce que lors de la notification de l’arrêté départemental du 1er octobre 2018 à la recourante, cette information était déjà en vigueur. La dénomination se trouvant au bilan de la recourante au 31 décembre 2018, soit « provision à long terme pour travaux d’entretien » semble se référer à l’ancienne pratique. Elle ne correspond toutefois pas à une provision forfaitaire car elle a été calculée après que le résultat de l’exercice et les coûts effectifs des charges annuelles aient été connus. Par ailleurs, cette provision ne rentre pas dans l’exception décrite dans la circulaire, ne s’agissant pas de réaliser des travaux faisant déjà l’objet d’une autorisation de construire délivrée avant le 31 décembre 2019. Dès lors, il s’agit en l’espèce d’une provision pour risques ou investissements futurs qui n’est en principe pas admise par la doctrine et la jurisprudence (ATF 103 Ib 366 ; Robert DANON, op.cit, n. 15 ad art. 63 LIFD). Le droit fiscal n’admet en effet pas la constitution de réserves latentes par le biais de provisions pourtant tolérées en droit commercial. Dès lors, ce genre de provisions sont à ajouter au bénéfice imposable conformément au principe de périodicité (arrêt du Tribunal fédéral 2C_581/2010 consid. 3.1). La seule exception existante concerne les dépenses destinées à couvrir de futurs mandats de recherche et développement de même que, avant la nouvelle circulaire, les provisions calculées de manière forfaitaire (Robert DANON, op. cit., n. 15). En tout état de cause, des provisions pour des risques de pertes imminentes durant l’exercice (art. 63 al. 1 let. c LIFD) comme par exemple des provisions pour grosses réparations futures ne peuvent être reconnues que si le contribuable peut prouver avec un concept et des offres à l’appui que ces provisions sont tout-à-fait nécessaires. Par ailleurs, le risque de perte doit avoir pris naissance durant l’exercice concerné. Le risque doit être imminent, ce qui n’est pas le cas que lorsqu’il se réalise au cours de l’exercice suivant. Le principe de périodicité commande d’examiner si la constitution de la provision concerne des faits se rapportant à la période de calcul. Pour ce faire, il suffit que le risque de perte paraisse imminent au moment de la clôture des comptes (Robert DANON, op. cit., n. 34 et 35).</w:t>
      </w:r>
    </w:p>
    <w:p>
      <w:r>
        <w:t>- 15/16 - A/707/2020</w:t>
      </w:r>
    </w:p>
    <w:p>
      <w:r>
        <w:t>Or, comme l’a retenu à juste titre le TAPI, la recourante ne démontre pas ni même n’allègue qu’elle risquait en 2018 de devoir procéder à des grands travaux d’entretien de façon certaine ou quasi certaine durant la période de contrôle et encore moins que ce risque aurait pu prendre naissance dans l’exercice comptable 2018. La recourante n’a pas allégué un risque de perte d’avantages économiques réel, concret et imminent. Les arrêts cités par la recourante, notamment l’arrêt de la chambre de céans du 4 août 2020 confirmé par le Tribunal fédéral du 4 mars 2021, ne permettent pas de remettre en cause cette conclusion.</w:t>
      </w:r>
    </w:p>
    <w:p>
      <w:r>
        <w:t>C’est donc à bon droit que l’AFC-GE a procédé à la reprise de la provision litigieuse et que le TAPI a confirmé cette analyse. Ce grief sera dès lors écarté.</w:t>
      </w:r>
    </w:p>
    <w:p>
      <w:r>
        <w:t>Il résulte de ce qui précède que le recours, mal fondé, doit être rejeté. 12) Vu l'issue du litige, un émolument de CHF 2’000.-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